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80" w:lineRule="exact"/>
        <w:jc w:val="left"/>
        <w:rPr>
          <w:rFonts w:hint="eastAsia" w:ascii="微软雅黑" w:hAnsi="微软雅黑" w:eastAsia="微软雅黑"/>
          <w:color w:val="auto"/>
          <w:sz w:val="32"/>
          <w:szCs w:val="32"/>
          <w:lang w:eastAsia="zh-CN"/>
        </w:rPr>
      </w:pPr>
      <w:r>
        <w:rPr>
          <w:rFonts w:hint="eastAsia" w:ascii="微软雅黑" w:hAnsi="微软雅黑" w:eastAsia="微软雅黑"/>
          <w:color w:val="auto"/>
          <w:sz w:val="32"/>
          <w:szCs w:val="32"/>
          <w:lang w:eastAsia="zh-CN"/>
        </w:rPr>
        <w:t>附件：</w:t>
      </w:r>
    </w:p>
    <w:p>
      <w:pPr>
        <w:spacing w:beforeLines="100" w:line="480" w:lineRule="exact"/>
        <w:jc w:val="center"/>
        <w:rPr>
          <w:rFonts w:ascii="微软雅黑" w:hAnsi="微软雅黑" w:eastAsia="微软雅黑"/>
          <w:color w:val="FF0000"/>
          <w:sz w:val="44"/>
          <w:szCs w:val="44"/>
        </w:rPr>
      </w:pPr>
      <w:r>
        <w:rPr>
          <w:rFonts w:hint="eastAsia" w:ascii="微软雅黑" w:hAnsi="微软雅黑" w:eastAsia="微软雅黑"/>
          <w:color w:val="FF0000"/>
          <w:sz w:val="44"/>
          <w:szCs w:val="44"/>
        </w:rPr>
        <w:t>2018年担保机构3月份专题培训</w:t>
      </w:r>
    </w:p>
    <w:p>
      <w:pPr>
        <w:spacing w:line="5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去年10月1日，《融资担保公司监督管理条例》正式实施，担保业界期盼已久的“家规”终于落实。条例立足支持普惠金融发展,突出对融资担保服务小微企业和“三农”加大政策扶持,鼓励发展政府支持的融资担保和再担保机构,促进缓解融资难融资贵问题和扩大就业；强化地方政府监管职责,严格风险防范等，提振行业信心。在这种形势下，担保机构更需苦练内功，重新梳理业务流程、构建完善的风控体系，从尽职调查到客户分析再到保后管理整个业务流程中构建一系列制度。</w:t>
      </w:r>
    </w:p>
    <w:p>
      <w:pPr>
        <w:spacing w:afterLines="50" w:line="500" w:lineRule="exact"/>
        <w:ind w:firstLine="480" w:firstLineChars="200"/>
        <w:jc w:val="left"/>
        <w:rPr>
          <w:rFonts w:ascii="微软雅黑" w:hAnsi="微软雅黑" w:eastAsia="微软雅黑"/>
          <w:color w:val="FF0000"/>
          <w:sz w:val="36"/>
          <w:szCs w:val="28"/>
        </w:rPr>
      </w:pPr>
      <w:r>
        <w:rPr>
          <w:rFonts w:hint="eastAsia" w:ascii="微软雅黑" w:hAnsi="微软雅黑" w:eastAsia="微软雅黑"/>
          <w:sz w:val="24"/>
          <w:szCs w:val="24"/>
        </w:rPr>
        <w:t>国培机构凭借十三年担保行业研究积淀，在强化和创新以往实战教学、实地教学和分层分岗培训的教学模式基础上，根据行业的调研需求，国培机构在3月份特开设“</w:t>
      </w:r>
      <w:r>
        <w:rPr>
          <w:rFonts w:hint="eastAsia" w:ascii="微软雅黑" w:hAnsi="微软雅黑" w:eastAsia="微软雅黑"/>
          <w:b/>
          <w:sz w:val="24"/>
          <w:szCs w:val="24"/>
        </w:rPr>
        <w:t>担保机构从业人员必修班</w:t>
      </w:r>
      <w:r>
        <w:rPr>
          <w:rFonts w:hint="eastAsia" w:ascii="微软雅黑" w:hAnsi="微软雅黑" w:eastAsia="微软雅黑"/>
          <w:sz w:val="24"/>
          <w:szCs w:val="24"/>
        </w:rPr>
        <w:t>“培训，旨在为处于转型期的担保机构及再担保机构提供最迫切、最实用和最高效的一站式解决方案。</w:t>
      </w:r>
    </w:p>
    <w:tbl>
      <w:tblPr>
        <w:tblStyle w:val="10"/>
        <w:tblW w:w="8493" w:type="dxa"/>
        <w:jc w:val="center"/>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7"/>
        <w:gridCol w:w="1800"/>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807" w:type="dxa"/>
            <w:tcBorders>
              <w:left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培 训 专 题</w:t>
            </w:r>
          </w:p>
        </w:tc>
        <w:tc>
          <w:tcPr>
            <w:tcW w:w="1800" w:type="dxa"/>
            <w:tcBorders>
              <w:left w:val="single" w:color="auto" w:sz="4" w:space="0"/>
              <w:bottom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时间</w:t>
            </w:r>
          </w:p>
        </w:tc>
        <w:tc>
          <w:tcPr>
            <w:tcW w:w="886" w:type="dxa"/>
            <w:tcBorders>
              <w:left w:val="single" w:color="auto" w:sz="4" w:space="0"/>
              <w:bottom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微软雅黑" w:hAnsi="微软雅黑" w:eastAsia="微软雅黑"/>
                <w:b/>
                <w:kern w:val="0"/>
                <w:sz w:val="20"/>
                <w:szCs w:val="16"/>
              </w:rPr>
            </w:pPr>
            <w:r>
              <w:rPr>
                <w:rFonts w:hint="eastAsia" w:ascii="微软雅黑" w:hAnsi="微软雅黑" w:eastAsia="微软雅黑"/>
                <w:b/>
                <w:sz w:val="22"/>
              </w:rPr>
              <w:t xml:space="preserve">    担保机构从业人员必修班</w:t>
            </w:r>
          </w:p>
          <w:p>
            <w:pPr>
              <w:pStyle w:val="19"/>
              <w:numPr>
                <w:ilvl w:val="0"/>
                <w:numId w:val="1"/>
              </w:numPr>
              <w:spacing w:line="400" w:lineRule="exact"/>
              <w:ind w:firstLineChars="0"/>
              <w:jc w:val="left"/>
              <w:rPr>
                <w:rFonts w:ascii="微软雅黑" w:hAnsi="微软雅黑" w:eastAsia="微软雅黑" w:cs="宋体"/>
                <w:bCs/>
                <w:spacing w:val="-12"/>
                <w:sz w:val="22"/>
              </w:rPr>
            </w:pPr>
            <w:r>
              <w:rPr>
                <w:rFonts w:hint="eastAsia" w:ascii="微软雅黑" w:hAnsi="微软雅黑" w:eastAsia="微软雅黑" w:cs="宋体"/>
                <w:bCs/>
                <w:spacing w:val="-12"/>
                <w:sz w:val="22"/>
              </w:rPr>
              <w:t>市场环境分析与尽职调查流程实务、客户财务与非财务分析要点及案例、客户关系及档案管理、目标客户营销技巧、项目评审机制流程及要点、保后客户监管流程实操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bCs/>
                <w:sz w:val="22"/>
              </w:rPr>
            </w:pPr>
            <w:r>
              <w:rPr>
                <w:rFonts w:hint="eastAsia" w:ascii="微软雅黑" w:hAnsi="微软雅黑" w:eastAsia="微软雅黑" w:cs="Times New Roman"/>
                <w:bCs/>
                <w:sz w:val="22"/>
              </w:rPr>
              <w:t>3月21-26日</w:t>
            </w:r>
          </w:p>
        </w:tc>
        <w:tc>
          <w:tcPr>
            <w:tcW w:w="8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微软雅黑" w:hAnsi="微软雅黑" w:eastAsia="微软雅黑" w:cs="微软雅黑"/>
                <w:bCs/>
                <w:sz w:val="24"/>
                <w:szCs w:val="24"/>
              </w:rPr>
            </w:pPr>
            <w:r>
              <w:rPr>
                <w:rFonts w:hint="eastAsia" w:ascii="微软雅黑" w:hAnsi="微软雅黑" w:eastAsia="微软雅黑"/>
                <w:sz w:val="22"/>
              </w:rPr>
              <w:t>昆明</w:t>
            </w:r>
          </w:p>
        </w:tc>
      </w:tr>
    </w:tbl>
    <w:p>
      <w:pPr>
        <w:spacing w:line="400" w:lineRule="exact"/>
        <w:jc w:val="center"/>
        <w:rPr>
          <w:rFonts w:ascii="微软雅黑" w:hAnsi="微软雅黑" w:eastAsia="微软雅黑" w:cs="微软雅黑"/>
          <w:b/>
          <w:bCs/>
          <w:spacing w:val="6"/>
          <w:kern w:val="0"/>
          <w:sz w:val="32"/>
          <w:szCs w:val="32"/>
        </w:rPr>
      </w:pPr>
      <w:r>
        <w:rPr>
          <w:rFonts w:hint="eastAsia" w:ascii="微软雅黑" w:hAnsi="微软雅黑" w:eastAsia="微软雅黑" w:cs="微软雅黑"/>
          <w:b/>
          <w:bCs/>
          <w:spacing w:val="6"/>
          <w:kern w:val="0"/>
          <w:sz w:val="32"/>
          <w:szCs w:val="32"/>
        </w:rPr>
        <w:t>担保机构从业人员必修班</w:t>
      </w:r>
    </w:p>
    <w:p>
      <w:pPr>
        <w:spacing w:line="400" w:lineRule="exact"/>
        <w:jc w:val="left"/>
        <w:rPr>
          <w:rFonts w:ascii="微软雅黑" w:hAnsi="微软雅黑" w:eastAsia="微软雅黑"/>
          <w:b/>
          <w:sz w:val="22"/>
        </w:rPr>
      </w:pPr>
      <w:r>
        <w:rPr>
          <w:rFonts w:hint="eastAsia" w:ascii="微软雅黑" w:hAnsi="微软雅黑" w:eastAsia="微软雅黑"/>
          <w:b/>
          <w:sz w:val="22"/>
        </w:rPr>
        <w:t>【课程亮点】</w:t>
      </w:r>
    </w:p>
    <w:p>
      <w:pPr>
        <w:pStyle w:val="19"/>
        <w:numPr>
          <w:ilvl w:val="0"/>
          <w:numId w:val="2"/>
        </w:numPr>
        <w:spacing w:line="400" w:lineRule="exact"/>
        <w:ind w:firstLineChars="0"/>
        <w:jc w:val="left"/>
        <w:rPr>
          <w:rFonts w:ascii="微软雅黑" w:hAnsi="微软雅黑" w:eastAsia="微软雅黑" w:cs="微软雅黑"/>
          <w:sz w:val="22"/>
        </w:rPr>
      </w:pPr>
      <w:r>
        <w:rPr>
          <w:rFonts w:hint="eastAsia" w:ascii="微软雅黑" w:hAnsi="微软雅黑" w:eastAsia="微软雅黑" w:cs="微软雅黑"/>
          <w:sz w:val="22"/>
        </w:rPr>
        <w:t>课程内容：梳理担保机构业务流程，从市场环境分析与尽职调查流程实务、客户财务与非财务分析要点及案例、客户关系及档案管理、目标客户营销技巧、项目评审机制流程及要点、保后客户监管流程实操，助力担保公司构建全程、全员、全面的风控体系。</w:t>
      </w:r>
    </w:p>
    <w:p>
      <w:pPr>
        <w:pStyle w:val="19"/>
        <w:numPr>
          <w:ilvl w:val="0"/>
          <w:numId w:val="2"/>
        </w:numPr>
        <w:spacing w:line="400" w:lineRule="exact"/>
        <w:ind w:firstLineChars="0"/>
        <w:jc w:val="left"/>
        <w:rPr>
          <w:rFonts w:ascii="微软雅黑" w:hAnsi="微软雅黑" w:eastAsia="微软雅黑" w:cs="微软雅黑"/>
          <w:sz w:val="22"/>
        </w:rPr>
      </w:pPr>
      <w:r>
        <w:rPr>
          <w:rFonts w:hint="eastAsia" w:ascii="微软雅黑" w:hAnsi="微软雅黑" w:eastAsia="微软雅黑" w:cs="微软雅黑"/>
          <w:sz w:val="22"/>
        </w:rPr>
        <w:t>课程师资：力邀知名担保公司总经理、风控总监等担保机构核心高管，现场提供实战应用型智慧锦囊。</w:t>
      </w:r>
    </w:p>
    <w:p>
      <w:pPr>
        <w:pStyle w:val="19"/>
        <w:numPr>
          <w:ilvl w:val="0"/>
          <w:numId w:val="2"/>
        </w:numPr>
        <w:spacing w:line="400" w:lineRule="exact"/>
        <w:ind w:firstLineChars="0"/>
        <w:jc w:val="left"/>
        <w:rPr>
          <w:rFonts w:ascii="微软雅黑" w:hAnsi="微软雅黑" w:eastAsia="微软雅黑" w:cs="微软雅黑"/>
          <w:sz w:val="22"/>
        </w:rPr>
      </w:pPr>
      <w:r>
        <w:rPr>
          <w:rFonts w:hint="eastAsia" w:ascii="微软雅黑" w:hAnsi="微软雅黑" w:eastAsia="微软雅黑" w:cs="微软雅黑"/>
          <w:sz w:val="22"/>
        </w:rPr>
        <w:t xml:space="preserve">课程模式：师生互动双向交流、案例教学、高度还原评审会，提供师资与学员、学员与学员之间沟通交流平台。 </w:t>
      </w:r>
    </w:p>
    <w:p>
      <w:pPr>
        <w:pStyle w:val="19"/>
        <w:numPr>
          <w:ilvl w:val="0"/>
          <w:numId w:val="2"/>
        </w:numPr>
        <w:spacing w:line="400" w:lineRule="exact"/>
        <w:ind w:firstLineChars="0"/>
        <w:jc w:val="left"/>
        <w:rPr>
          <w:rFonts w:ascii="微软雅黑" w:hAnsi="微软雅黑" w:eastAsia="微软雅黑" w:cs="微软雅黑"/>
          <w:sz w:val="22"/>
        </w:rPr>
      </w:pPr>
      <w:r>
        <w:rPr>
          <w:rFonts w:hint="eastAsia" w:ascii="微软雅黑" w:hAnsi="微软雅黑" w:eastAsia="微软雅黑" w:cs="微软雅黑"/>
          <w:sz w:val="22"/>
        </w:rPr>
        <w:t>证书颁发：学习期满，将获得由国培机构颁发的“担保机构系列专题培训”证书。</w:t>
      </w:r>
    </w:p>
    <w:p>
      <w:pPr>
        <w:spacing w:beforeLines="100" w:afterLines="50" w:line="420" w:lineRule="exact"/>
        <w:jc w:val="left"/>
        <w:rPr>
          <w:rFonts w:ascii="微软雅黑" w:hAnsi="微软雅黑" w:eastAsia="微软雅黑"/>
          <w:sz w:val="24"/>
          <w:szCs w:val="24"/>
        </w:rPr>
        <w:sectPr>
          <w:headerReference r:id="rId3" w:type="default"/>
          <w:type w:val="continuous"/>
          <w:pgSz w:w="11906" w:h="16838"/>
          <w:pgMar w:top="1440" w:right="1800" w:bottom="1440" w:left="1800" w:header="851" w:footer="992" w:gutter="0"/>
          <w:cols w:space="425" w:num="1"/>
          <w:docGrid w:type="lines" w:linePitch="312" w:charSpace="0"/>
        </w:sectPr>
      </w:pPr>
    </w:p>
    <w:p>
      <w:pPr>
        <w:spacing w:line="400" w:lineRule="exact"/>
        <w:jc w:val="left"/>
        <w:rPr>
          <w:rFonts w:ascii="微软雅黑" w:hAnsi="微软雅黑" w:eastAsia="微软雅黑"/>
          <w:b/>
          <w:sz w:val="22"/>
        </w:rPr>
      </w:pPr>
      <w:r>
        <w:rPr>
          <w:rFonts w:hint="eastAsia" w:ascii="微软雅黑" w:hAnsi="微软雅黑" w:eastAsia="微软雅黑"/>
          <w:b/>
          <w:sz w:val="22"/>
        </w:rPr>
        <w:t>【授课对象】</w:t>
      </w:r>
    </w:p>
    <w:p>
      <w:pPr>
        <w:numPr>
          <w:ilvl w:val="0"/>
          <w:numId w:val="3"/>
        </w:numPr>
        <w:spacing w:line="400" w:lineRule="exact"/>
        <w:rPr>
          <w:rFonts w:ascii="微软雅黑" w:hAnsi="微软雅黑" w:eastAsia="微软雅黑"/>
          <w:sz w:val="22"/>
        </w:rPr>
      </w:pPr>
      <w:r>
        <w:rPr>
          <w:rFonts w:hint="eastAsia" w:ascii="微软雅黑" w:hAnsi="微软雅黑" w:eastAsia="微软雅黑"/>
          <w:sz w:val="22"/>
        </w:rPr>
        <w:t>担保及再担保机构业务人员、风控人员、中高级管理人员</w:t>
      </w:r>
    </w:p>
    <w:p>
      <w:pPr>
        <w:numPr>
          <w:ilvl w:val="0"/>
          <w:numId w:val="3"/>
        </w:numPr>
        <w:spacing w:line="400" w:lineRule="exact"/>
        <w:rPr>
          <w:rFonts w:ascii="微软雅黑" w:hAnsi="微软雅黑" w:eastAsia="微软雅黑"/>
          <w:sz w:val="22"/>
        </w:rPr>
      </w:pPr>
      <w:r>
        <w:rPr>
          <w:rFonts w:hint="eastAsia" w:ascii="微软雅黑" w:hAnsi="微软雅黑" w:eastAsia="微软雅黑"/>
          <w:sz w:val="22"/>
        </w:rPr>
        <w:t>担保行业协会、金融办、中小企业局、经信委等相关领导</w:t>
      </w:r>
    </w:p>
    <w:p>
      <w:pPr>
        <w:numPr>
          <w:ilvl w:val="0"/>
          <w:numId w:val="3"/>
        </w:numPr>
        <w:spacing w:line="400" w:lineRule="exact"/>
        <w:rPr>
          <w:rFonts w:ascii="微软雅黑" w:hAnsi="微软雅黑" w:eastAsia="微软雅黑"/>
          <w:sz w:val="22"/>
        </w:rPr>
      </w:pPr>
      <w:r>
        <w:rPr>
          <w:rFonts w:hint="eastAsia" w:ascii="微软雅黑" w:hAnsi="微软雅黑" w:eastAsia="微软雅黑"/>
          <w:sz w:val="22"/>
        </w:rPr>
        <w:t>有志于从事担保工作的相关人士</w:t>
      </w:r>
    </w:p>
    <w:p>
      <w:pPr>
        <w:spacing w:line="400" w:lineRule="exact"/>
        <w:jc w:val="left"/>
        <w:rPr>
          <w:rFonts w:ascii="微软雅黑" w:hAnsi="微软雅黑" w:eastAsia="微软雅黑"/>
          <w:b/>
          <w:sz w:val="22"/>
        </w:rPr>
      </w:pPr>
      <w:r>
        <w:rPr>
          <w:rFonts w:hint="eastAsia" w:ascii="微软雅黑" w:hAnsi="微软雅黑" w:eastAsia="微软雅黑"/>
          <w:b/>
          <w:sz w:val="22"/>
        </w:rPr>
        <w:t>【课程大纲】</w:t>
      </w:r>
    </w:p>
    <w:tbl>
      <w:tblPr>
        <w:tblStyle w:val="10"/>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shd w:val="clear" w:color="auto" w:fill="FFFFFF"/>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模块一：市场环境分析与尽职调查流程实务</w:t>
            </w:r>
          </w:p>
        </w:tc>
        <w:tc>
          <w:tcPr>
            <w:tcW w:w="2835" w:type="dxa"/>
            <w:shd w:val="clear" w:color="auto" w:fill="FFFFFF"/>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69" w:type="dxa"/>
          </w:tcPr>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市场竞争分析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来自同行的竞争</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来自银行的竞争日益加剧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金融混业下，跨界的竞争 </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担保公司的不同市场定位</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市场渠道</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合作银行</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行业协会</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各级政府部门和机构</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老客户</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亲戚朋友</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非银行金融同业的业务合作（券商、信托、担保）</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市场需求分析</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生产流动资金需求</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贸易性融资需求 </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项目开发资金需求 </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固定资产扩增的担保需求</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保函业务（非融资保证需求）</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过桥资金、资信证明等其它需求</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其它（改善借款结构、品牌宣传、咨询服务）</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尽职调查的要点</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第一还款来源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企业核心竞争力</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主要经营者素质</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企业成长性</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尽职调查的注意事项</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认真准备调查提纲</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多方面收集信息，解决信息不对称</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确保信息的真实性、有效性、合法性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多问、多听、多看，随机抽查</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认真负责，不放过任何一点疑问</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认真研究资料</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与企业决策者沟通，建立联系渠道</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处理好调查质量与效率关系</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尽职调查的数据分析和综合评价</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影响决策的特别分析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重点风险分析与提示</w:t>
            </w:r>
          </w:p>
          <w:p>
            <w:pPr>
              <w:numPr>
                <w:ilvl w:val="1"/>
                <w:numId w:val="5"/>
              </w:numPr>
              <w:spacing w:line="360" w:lineRule="exact"/>
            </w:pPr>
            <w:r>
              <w:rPr>
                <w:rFonts w:hint="eastAsia" w:ascii="微软雅黑" w:hAnsi="微软雅黑" w:eastAsia="微软雅黑" w:cs="仿宋_GB2312"/>
                <w:bCs/>
                <w:color w:val="000000"/>
                <w:sz w:val="24"/>
              </w:rPr>
              <w:t>融资效益分析</w:t>
            </w:r>
          </w:p>
        </w:tc>
        <w:tc>
          <w:tcPr>
            <w:tcW w:w="2835" w:type="dxa"/>
            <w:vAlign w:val="center"/>
          </w:tcPr>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学会制定保前调研提纲</w:t>
            </w:r>
          </w:p>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学会收集保前信息收集并进行有效甄别</w:t>
            </w:r>
          </w:p>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掌握现场考察要点，有效识别风险项目</w:t>
            </w:r>
          </w:p>
          <w:p>
            <w:pPr>
              <w:pStyle w:val="13"/>
              <w:spacing w:line="320" w:lineRule="exact"/>
              <w:ind w:firstLine="0" w:firstLineChars="0"/>
              <w:rPr>
                <w:rFonts w:ascii="微软雅黑" w:hAnsi="微软雅黑" w:eastAsia="微软雅黑"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模块二：客户财务与非财务分析要点及案例</w:t>
            </w:r>
          </w:p>
        </w:tc>
        <w:tc>
          <w:tcPr>
            <w:tcW w:w="283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5669" w:type="dxa"/>
          </w:tcPr>
          <w:p>
            <w:pPr>
              <w:spacing w:line="400" w:lineRule="exact"/>
              <w:rPr>
                <w:rFonts w:ascii="微软雅黑" w:hAnsi="微软雅黑" w:eastAsia="微软雅黑"/>
                <w:b/>
                <w:sz w:val="24"/>
              </w:rPr>
            </w:pPr>
            <w:r>
              <w:rPr>
                <w:rFonts w:hint="eastAsia" w:ascii="微软雅黑" w:hAnsi="微软雅黑" w:eastAsia="微软雅黑"/>
                <w:b/>
                <w:sz w:val="24"/>
              </w:rPr>
              <w:t>第一部分：财务因素调查</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还款能力核实（收入、利润）</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销售明细帐、总账、报表</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销售回款</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纳税情况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生产记录、入库单、出库单、运输单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发票、出口报关单、贸工局出口证明</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企业采购环节核证</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用电量对比</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上下游客户近期收付</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大额及变化科目核实</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应收账款</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固定资产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存 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应付账款          </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贷 款</w:t>
            </w:r>
          </w:p>
          <w:p>
            <w:pPr>
              <w:spacing w:line="400" w:lineRule="exact"/>
              <w:rPr>
                <w:rFonts w:ascii="微软雅黑" w:hAnsi="微软雅黑" w:eastAsia="微软雅黑"/>
                <w:b/>
                <w:sz w:val="24"/>
              </w:rPr>
            </w:pPr>
            <w:r>
              <w:rPr>
                <w:rFonts w:hint="eastAsia" w:ascii="微软雅黑" w:hAnsi="微软雅黑" w:eastAsia="微软雅黑"/>
                <w:b/>
                <w:sz w:val="24"/>
              </w:rPr>
              <w:t>第二部分：非财务因素调查</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行业及市场情况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行业情况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竞争情况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营销模式</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销售变化趋势</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基本情况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企业基本概况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历史沿革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发展方向、发展战略</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企业管理</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管理层素质及经验</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管理层关系及稳定性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管理现状</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企业人员情况</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产品及技术状况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产品结构</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技术状况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对技术重视程度</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研究成果</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技术发展前景</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产品制造</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生产场地</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制造方式</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生产管理</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进货渠道</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质量保证体系</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安全生产</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环保问题</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企业资信状况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开户行及主要结算行情况</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近三年贷款记录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对外担保记录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诉讼记录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企业信用网记录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人民银行黑名单记录</w:t>
            </w:r>
          </w:p>
          <w:p>
            <w:pPr>
              <w:numPr>
                <w:ilvl w:val="1"/>
                <w:numId w:val="5"/>
              </w:numPr>
              <w:spacing w:line="360" w:lineRule="exact"/>
              <w:rPr>
                <w:rFonts w:ascii="微软雅黑" w:hAnsi="微软雅黑" w:eastAsia="微软雅黑"/>
                <w:sz w:val="24"/>
              </w:rPr>
            </w:pPr>
            <w:r>
              <w:rPr>
                <w:rFonts w:hint="eastAsia" w:ascii="微软雅黑" w:hAnsi="微软雅黑" w:eastAsia="微软雅黑" w:cs="仿宋_GB2312"/>
                <w:bCs/>
                <w:color w:val="000000"/>
                <w:sz w:val="24"/>
              </w:rPr>
              <w:t>国税网、地税网记录</w:t>
            </w:r>
          </w:p>
        </w:tc>
        <w:tc>
          <w:tcPr>
            <w:tcW w:w="2835" w:type="dxa"/>
            <w:vAlign w:val="center"/>
          </w:tcPr>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学会结合行业特点进行财务审核，制作财务调查工作底稿</w:t>
            </w:r>
          </w:p>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掌握非财务人员需了解的财务知识，从数字和报表中勘破端倪</w:t>
            </w:r>
          </w:p>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掌握非财务分析要点，全方位了解目标客户经营状况</w:t>
            </w:r>
          </w:p>
          <w:p>
            <w:pPr>
              <w:spacing w:line="360" w:lineRule="exact"/>
              <w:rPr>
                <w:rFonts w:ascii="微软雅黑" w:hAnsi="微软雅黑" w:eastAsia="微软雅黑"/>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模块三：客户关系及档案管理</w:t>
            </w:r>
          </w:p>
        </w:tc>
        <w:tc>
          <w:tcPr>
            <w:tcW w:w="283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担保行业的客户关系解读</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企业的目的：创造顾客</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市场低迷与担保行业分析</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不同类型企业的营销变革之路</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价格营销到价值营销</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信息技术与营销创新</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心态修炼与客户关系建立</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二流产品能否实现一流业绩？</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销售团队：企业的核心</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为</w:t>
            </w:r>
            <w:r>
              <w:rPr>
                <w:rFonts w:ascii="微软雅黑" w:hAnsi="微软雅黑" w:eastAsia="微软雅黑" w:cs="仿宋_GB2312"/>
                <w:bCs/>
                <w:color w:val="000000"/>
                <w:sz w:val="24"/>
              </w:rPr>
              <w:t>“</w:t>
            </w:r>
            <w:r>
              <w:rPr>
                <w:rFonts w:hint="eastAsia" w:ascii="微软雅黑" w:hAnsi="微软雅黑" w:eastAsia="微软雅黑" w:cs="仿宋_GB2312"/>
                <w:bCs/>
                <w:color w:val="000000"/>
                <w:sz w:val="24"/>
              </w:rPr>
              <w:t>为客户服务的人</w:t>
            </w:r>
            <w:r>
              <w:rPr>
                <w:rFonts w:ascii="微软雅黑" w:hAnsi="微软雅黑" w:eastAsia="微软雅黑" w:cs="仿宋_GB2312"/>
                <w:bCs/>
                <w:color w:val="000000"/>
                <w:sz w:val="24"/>
              </w:rPr>
              <w:t>”</w:t>
            </w:r>
            <w:r>
              <w:rPr>
                <w:rFonts w:hint="eastAsia" w:ascii="微软雅黑" w:hAnsi="微软雅黑" w:eastAsia="微软雅黑" w:cs="仿宋_GB2312"/>
                <w:bCs/>
                <w:color w:val="000000"/>
                <w:sz w:val="24"/>
              </w:rPr>
              <w:t>提供服务</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销售员</w:t>
            </w:r>
            <w:r>
              <w:rPr>
                <w:rFonts w:ascii="微软雅黑" w:hAnsi="微软雅黑" w:eastAsia="微软雅黑" w:cs="仿宋_GB2312"/>
                <w:bCs/>
                <w:color w:val="000000"/>
                <w:sz w:val="24"/>
              </w:rPr>
              <w:t>:</w:t>
            </w:r>
            <w:r>
              <w:rPr>
                <w:rFonts w:hint="eastAsia" w:ascii="微软雅黑" w:hAnsi="微软雅黑" w:eastAsia="微软雅黑" w:cs="仿宋_GB2312"/>
                <w:bCs/>
                <w:color w:val="000000"/>
                <w:sz w:val="24"/>
              </w:rPr>
              <w:t>享受销售的快乐</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赢在淡季</w:t>
            </w:r>
            <w:r>
              <w:rPr>
                <w:rFonts w:ascii="微软雅黑" w:hAnsi="微软雅黑" w:eastAsia="微软雅黑" w:cs="仿宋_GB2312"/>
                <w:bCs/>
                <w:color w:val="000000"/>
                <w:sz w:val="24"/>
              </w:rPr>
              <w:t>or</w:t>
            </w:r>
            <w:r>
              <w:rPr>
                <w:rFonts w:hint="eastAsia" w:ascii="微软雅黑" w:hAnsi="微软雅黑" w:eastAsia="微软雅黑" w:cs="仿宋_GB2312"/>
                <w:bCs/>
                <w:color w:val="000000"/>
                <w:sz w:val="24"/>
              </w:rPr>
              <w:t>旺季？</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客户细分与客户关系强化</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顾客价值：购买行为的核心</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顾客收益分析</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客户购买行为</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自我定位与客户拜访技巧</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客户需要什么？</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机构营销的五大主体</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采购与营销流程对接</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确定客户：决策导向与动机</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接触客户：</w:t>
            </w:r>
            <w:r>
              <w:rPr>
                <w:rFonts w:ascii="微软雅黑" w:hAnsi="微软雅黑" w:eastAsia="微软雅黑" w:cs="仿宋_GB2312"/>
                <w:bCs/>
                <w:color w:val="000000"/>
                <w:sz w:val="24"/>
              </w:rPr>
              <w:t>1</w:t>
            </w:r>
            <w:r>
              <w:rPr>
                <w:rFonts w:hint="eastAsia" w:ascii="微软雅黑" w:hAnsi="微软雅黑" w:eastAsia="微软雅黑" w:cs="仿宋_GB2312"/>
                <w:bCs/>
                <w:color w:val="000000"/>
                <w:sz w:val="24"/>
              </w:rPr>
              <w:t>分钟打造亲和力</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需求判断：关键人确定</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客户沟通的六大法则</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推销自己（企业）</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保持好奇心</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关注顾客利益</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提供超值享受</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坚持</w:t>
            </w:r>
          </w:p>
          <w:p>
            <w:pPr>
              <w:numPr>
                <w:ilvl w:val="1"/>
                <w:numId w:val="7"/>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企业形象大使</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业务档案的属性</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业务档案的作用  </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存史</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资政</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育人</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解决争端、处理事件的法定凭据</w:t>
            </w:r>
          </w:p>
          <w:p>
            <w:pPr>
              <w:numPr>
                <w:ilvl w:val="1"/>
                <w:numId w:val="5"/>
              </w:numPr>
              <w:tabs>
                <w:tab w:val="left" w:pos="720"/>
              </w:tabs>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是所有工作开展的必备环节和基础性支撑</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档案管理工作的具体措施</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担保公司内部文件资料列为A类档案</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担保客户文件资料   </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反担保法律文件资料</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银行文件资料</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反担保物权证书</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业务档案的责任归属与管理</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运营公司风险管理部</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运营公司财务部负责</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运营公司客户经理A角、风险经理B角、法务专员、核保专员</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担保集团风险管理中心</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业务档案的归档和建档</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索引号的编写</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业务档案的保管、借阅和退还</w:t>
            </w:r>
          </w:p>
          <w:p>
            <w:pPr>
              <w:numPr>
                <w:ilvl w:val="0"/>
                <w:numId w:val="4"/>
              </w:numPr>
              <w:spacing w:line="360" w:lineRule="exact"/>
            </w:pPr>
            <w:r>
              <w:rPr>
                <w:rFonts w:hint="eastAsia" w:ascii="微软雅黑" w:hAnsi="微软雅黑" w:eastAsia="微软雅黑" w:cs="仿宋_GB2312"/>
                <w:bCs/>
                <w:color w:val="000000"/>
                <w:sz w:val="24"/>
              </w:rPr>
              <w:t>业务档案的移交和销毁</w:t>
            </w:r>
          </w:p>
        </w:tc>
        <w:tc>
          <w:tcPr>
            <w:tcW w:w="2835" w:type="dxa"/>
            <w:vAlign w:val="center"/>
          </w:tcPr>
          <w:p>
            <w:pPr>
              <w:pStyle w:val="13"/>
              <w:widowControl/>
              <w:numPr>
                <w:ilvl w:val="0"/>
                <w:numId w:val="6"/>
              </w:numPr>
              <w:spacing w:line="36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把握客户沟通的技巧方法，赢得客户的信任</w:t>
            </w:r>
          </w:p>
          <w:p>
            <w:pPr>
              <w:pStyle w:val="13"/>
              <w:widowControl/>
              <w:numPr>
                <w:ilvl w:val="0"/>
                <w:numId w:val="6"/>
              </w:numPr>
              <w:spacing w:line="360" w:lineRule="exact"/>
              <w:ind w:firstLineChars="0"/>
              <w:rPr>
                <w:rFonts w:ascii="微软雅黑" w:hAnsi="微软雅黑" w:eastAsia="微软雅黑" w:cs="黑体"/>
                <w:b/>
                <w:bCs/>
                <w:color w:val="000000"/>
                <w:kern w:val="0"/>
                <w:sz w:val="24"/>
              </w:rPr>
            </w:pPr>
            <w:r>
              <w:rPr>
                <w:rFonts w:hint="eastAsia" w:ascii="微软雅黑" w:hAnsi="微软雅黑" w:eastAsia="微软雅黑" w:cs="仿宋_GB2312"/>
                <w:bCs/>
                <w:color w:val="000000"/>
                <w:sz w:val="24"/>
              </w:rPr>
              <w:t>掌握客户档案管理的流程与存档工具，减少无用功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模块四：目标客户营销技巧</w:t>
            </w:r>
          </w:p>
        </w:tc>
        <w:tc>
          <w:tcPr>
            <w:tcW w:w="283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pStyle w:val="13"/>
              <w:numPr>
                <w:ilvl w:val="0"/>
                <w:numId w:val="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市场环境分析</w:t>
            </w:r>
          </w:p>
          <w:p>
            <w:pPr>
              <w:pStyle w:val="13"/>
              <w:numPr>
                <w:ilvl w:val="0"/>
                <w:numId w:val="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市场分析</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担保业的作业</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市场整体描述</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需求分析</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竞争分析</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客户结构</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市场开拓方式与方法</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良好的开拓意识</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市场开发机制</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市场渠道</w:t>
            </w:r>
          </w:p>
          <w:p>
            <w:pPr>
              <w:pStyle w:val="13"/>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市场开拓方法及案例分析</w:t>
            </w:r>
          </w:p>
          <w:p>
            <w:pPr>
              <w:pStyle w:val="13"/>
              <w:numPr>
                <w:ilvl w:val="0"/>
                <w:numId w:val="10"/>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客户营销技巧</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知己知彼</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沟通中注重细节</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营销成功关键点</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了解企业需要什么</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要见公司实际控制人、不卑不亢</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构建平等合作关系、实现双赢</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诚信做人、靠谱做事</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高效优质的服务</w:t>
            </w:r>
          </w:p>
          <w:p>
            <w:pPr>
              <w:pStyle w:val="13"/>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注意衣着得体、大方</w:t>
            </w:r>
          </w:p>
          <w:p>
            <w:pPr>
              <w:pStyle w:val="13"/>
              <w:numPr>
                <w:ilvl w:val="0"/>
                <w:numId w:val="12"/>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客户营销重要步骤——谈判</w:t>
            </w:r>
          </w:p>
          <w:p>
            <w:pPr>
              <w:pStyle w:val="13"/>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博弈的选择</w:t>
            </w:r>
          </w:p>
          <w:p>
            <w:pPr>
              <w:pStyle w:val="13"/>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谈判：合作是谈出来的</w:t>
            </w:r>
          </w:p>
        </w:tc>
        <w:tc>
          <w:tcPr>
            <w:tcW w:w="2835" w:type="dxa"/>
            <w:vAlign w:val="center"/>
          </w:tcPr>
          <w:p>
            <w:pPr>
              <w:pStyle w:val="13"/>
              <w:widowControl/>
              <w:spacing w:line="360" w:lineRule="exact"/>
              <w:ind w:left="420" w:firstLine="0" w:firstLineChars="0"/>
              <w:rPr>
                <w:rFonts w:ascii="微软雅黑" w:hAnsi="微软雅黑" w:eastAsia="微软雅黑" w:cs="仿宋_GB2312"/>
                <w:bCs/>
                <w:color w:val="000000"/>
                <w:kern w:val="0"/>
                <w:sz w:val="24"/>
              </w:rPr>
            </w:pPr>
          </w:p>
          <w:p>
            <w:pPr>
              <w:pStyle w:val="13"/>
              <w:widowControl/>
              <w:spacing w:line="360" w:lineRule="exact"/>
              <w:ind w:left="420" w:firstLine="0" w:firstLineChars="0"/>
              <w:rPr>
                <w:rFonts w:ascii="微软雅黑" w:hAnsi="微软雅黑" w:eastAsia="微软雅黑" w:cs="仿宋_GB2312"/>
                <w:bCs/>
                <w:color w:val="000000"/>
                <w:kern w:val="0"/>
                <w:sz w:val="24"/>
              </w:rPr>
            </w:pPr>
          </w:p>
          <w:p>
            <w:pPr>
              <w:pStyle w:val="13"/>
              <w:widowControl/>
              <w:spacing w:line="360" w:lineRule="exact"/>
              <w:ind w:left="420" w:firstLine="0" w:firstLineChars="0"/>
              <w:rPr>
                <w:rFonts w:ascii="微软雅黑" w:hAnsi="微软雅黑" w:eastAsia="微软雅黑" w:cs="仿宋_GB2312"/>
                <w:bCs/>
                <w:color w:val="000000"/>
                <w:kern w:val="0"/>
                <w:sz w:val="24"/>
              </w:rPr>
            </w:pPr>
          </w:p>
          <w:p>
            <w:pPr>
              <w:pStyle w:val="13"/>
              <w:widowControl/>
              <w:spacing w:line="360" w:lineRule="exact"/>
              <w:ind w:left="420" w:firstLine="0" w:firstLineChars="0"/>
              <w:rPr>
                <w:rFonts w:ascii="微软雅黑" w:hAnsi="微软雅黑" w:eastAsia="微软雅黑" w:cs="仿宋_GB2312"/>
                <w:bCs/>
                <w:color w:val="000000"/>
                <w:kern w:val="0"/>
                <w:sz w:val="24"/>
              </w:rPr>
            </w:pPr>
          </w:p>
          <w:p>
            <w:pPr>
              <w:pStyle w:val="13"/>
              <w:widowControl/>
              <w:spacing w:line="360" w:lineRule="exact"/>
              <w:ind w:left="420" w:firstLine="0" w:firstLineChars="0"/>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通过目标客户的营销技巧学习，增加客户成单的几率，掌握市场分析和客户选择能力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模块五：项目评审机制流程及要点</w:t>
            </w:r>
          </w:p>
        </w:tc>
        <w:tc>
          <w:tcPr>
            <w:tcW w:w="283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5669" w:type="dxa"/>
          </w:tcPr>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简明业务流程</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企业提出担保申请</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项目经理受理申请</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项目经理尽职调研</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评审会评审</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企业还款</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保后跟踪</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通知银行放款</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签订担保相关合同</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项目评审制度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分类评审</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法定人数</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专家制度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评审报告</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否决制度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回避制度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稽核制度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预审制度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公议制度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AB角制度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次序制度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复议制度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协调制度 </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分级制度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定时制度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主持制度</w:t>
            </w:r>
          </w:p>
          <w:p>
            <w:pPr>
              <w:numPr>
                <w:ilvl w:val="1"/>
                <w:numId w:val="1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记录制度</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评审会功能</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审核把关</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方案优化</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作业检验</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重大信息核正</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对接银行</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互动提高</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点评制度</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前车之鉴</w:t>
            </w:r>
          </w:p>
          <w:p>
            <w:pPr>
              <w:numPr>
                <w:ilvl w:val="1"/>
                <w:numId w:val="5"/>
              </w:numPr>
              <w:spacing w:line="360" w:lineRule="exact"/>
              <w:rPr>
                <w:rFonts w:ascii="微软雅黑" w:hAnsi="微软雅黑" w:eastAsia="微软雅黑" w:cs="仿宋_GB2312"/>
                <w:bCs/>
                <w:color w:val="000000"/>
                <w:sz w:val="24"/>
              </w:rPr>
            </w:pPr>
            <w:r>
              <w:fldChar w:fldCharType="begin"/>
            </w:r>
            <w:r>
              <w:instrText xml:space="preserve"> HYPERLINK "《规制与探索》目录.doc" </w:instrText>
            </w:r>
            <w:r>
              <w:fldChar w:fldCharType="separate"/>
            </w:r>
            <w:r>
              <w:rPr>
                <w:rFonts w:hint="eastAsia" w:cs="仿宋_GB2312"/>
                <w:bCs/>
                <w:color w:val="000000"/>
              </w:rPr>
              <w:t>他山之石</w:t>
            </w:r>
            <w:r>
              <w:rPr>
                <w:rFonts w:hint="eastAsia" w:cs="仿宋_GB2312"/>
                <w:bCs/>
                <w:color w:val="000000"/>
              </w:rPr>
              <w:fldChar w:fldCharType="end"/>
            </w:r>
          </w:p>
          <w:p>
            <w:pPr>
              <w:numPr>
                <w:ilvl w:val="1"/>
                <w:numId w:val="5"/>
              </w:numPr>
              <w:spacing w:line="360" w:lineRule="exact"/>
            </w:pPr>
            <w:r>
              <w:rPr>
                <w:rFonts w:hint="eastAsia" w:ascii="微软雅黑" w:hAnsi="微软雅黑" w:eastAsia="微软雅黑" w:cs="仿宋_GB2312"/>
                <w:bCs/>
                <w:color w:val="000000"/>
                <w:sz w:val="24"/>
              </w:rPr>
              <w:t>亡羊补牢</w:t>
            </w:r>
          </w:p>
        </w:tc>
        <w:tc>
          <w:tcPr>
            <w:tcW w:w="2835" w:type="dxa"/>
            <w:vAlign w:val="center"/>
          </w:tcPr>
          <w:p>
            <w:pPr>
              <w:pStyle w:val="13"/>
              <w:widowControl/>
              <w:spacing w:line="320" w:lineRule="exact"/>
              <w:ind w:firstLine="0" w:firstLineChars="0"/>
              <w:rPr>
                <w:rFonts w:ascii="微软雅黑" w:hAnsi="微软雅黑" w:eastAsia="微软雅黑" w:cs="仿宋_GB2312"/>
                <w:bCs/>
                <w:color w:val="000000"/>
                <w:sz w:val="24"/>
              </w:rPr>
            </w:pPr>
          </w:p>
          <w:p>
            <w:pPr>
              <w:pStyle w:val="13"/>
              <w:widowControl/>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了解项目评审流程及机制</w:t>
            </w:r>
          </w:p>
          <w:p>
            <w:pPr>
              <w:pStyle w:val="13"/>
              <w:widowControl/>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掌握项目评审报告撰写要求</w:t>
            </w:r>
          </w:p>
          <w:p>
            <w:pPr>
              <w:pStyle w:val="13"/>
              <w:widowControl/>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了解风险项目审查要点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6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模块六：保后客户监管流程实操</w:t>
            </w:r>
          </w:p>
        </w:tc>
        <w:tc>
          <w:tcPr>
            <w:tcW w:w="283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5669" w:type="dxa"/>
          </w:tcPr>
          <w:p>
            <w:pPr>
              <w:spacing w:line="400" w:lineRule="exact"/>
              <w:rPr>
                <w:rFonts w:ascii="微软雅黑" w:hAnsi="微软雅黑" w:eastAsia="微软雅黑"/>
                <w:b/>
                <w:bCs/>
                <w:sz w:val="24"/>
              </w:rPr>
            </w:pPr>
            <w:r>
              <w:rPr>
                <w:rFonts w:hint="eastAsia" w:ascii="微软雅黑" w:hAnsi="微软雅黑" w:eastAsia="微软雅黑"/>
                <w:b/>
                <w:bCs/>
                <w:sz w:val="24"/>
              </w:rPr>
              <w:t>第一部分：担保公司面临风险及风险识别</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来自政策面的风险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政府部门的不恰当干预</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政府对政策的不稳定性</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来自合作银行的风险</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来自客户的风险</w:t>
            </w:r>
          </w:p>
          <w:p>
            <w:pPr>
              <w:spacing w:line="400" w:lineRule="exact"/>
              <w:ind w:left="420" w:leftChars="200"/>
              <w:rPr>
                <w:rFonts w:ascii="微软雅黑" w:hAnsi="微软雅黑" w:eastAsia="微软雅黑"/>
                <w:sz w:val="24"/>
              </w:rPr>
            </w:pPr>
            <w:r>
              <w:rPr>
                <w:rFonts w:ascii="微软雅黑" w:hAnsi="微软雅黑" w:eastAsia="微软雅黑"/>
                <w:bCs/>
                <w:sz w:val="24"/>
              </w:rPr>
              <w:t>1</w:t>
            </w:r>
            <w:r>
              <w:rPr>
                <w:rFonts w:hint="eastAsia" w:ascii="微软雅黑" w:hAnsi="微软雅黑" w:eastAsia="微软雅黑"/>
                <w:bCs/>
                <w:sz w:val="24"/>
              </w:rPr>
              <w:t>、道德风险：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欺诈</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故意拖延</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逃债</w:t>
            </w:r>
          </w:p>
          <w:p>
            <w:pPr>
              <w:spacing w:line="400" w:lineRule="exact"/>
              <w:rPr>
                <w:rFonts w:ascii="微软雅黑" w:hAnsi="微软雅黑" w:eastAsia="微软雅黑"/>
                <w:sz w:val="24"/>
              </w:rPr>
            </w:pPr>
            <w:r>
              <w:rPr>
                <w:rFonts w:ascii="微软雅黑" w:hAnsi="微软雅黑" w:eastAsia="微软雅黑"/>
                <w:bCs/>
                <w:sz w:val="24"/>
              </w:rPr>
              <w:t xml:space="preserve">   识别与防范：</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加强尽职调查工作（重在事前发现）</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加大违约成本（重在事后防范）</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2、运营风险</w:t>
            </w:r>
          </w:p>
          <w:p>
            <w:pPr>
              <w:spacing w:line="400" w:lineRule="exact"/>
              <w:rPr>
                <w:rFonts w:ascii="微软雅黑" w:hAnsi="微软雅黑" w:eastAsia="微软雅黑"/>
                <w:sz w:val="24"/>
              </w:rPr>
            </w:pPr>
            <w:r>
              <w:rPr>
                <w:rFonts w:hint="eastAsia" w:ascii="微软雅黑" w:hAnsi="微软雅黑" w:eastAsia="微软雅黑"/>
                <w:bCs/>
                <w:sz w:val="24"/>
              </w:rPr>
              <w:t xml:space="preserve">     1）市场风险</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识别与防范</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对客户所在行业的调查和研究</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对客户的主要原材料市场情况进行调查</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对客户产品的市场情况进行调查和研究</w:t>
            </w:r>
          </w:p>
          <w:p>
            <w:pPr>
              <w:spacing w:line="400" w:lineRule="exact"/>
              <w:rPr>
                <w:rFonts w:ascii="微软雅黑" w:hAnsi="微软雅黑" w:eastAsia="微软雅黑"/>
                <w:sz w:val="24"/>
              </w:rPr>
            </w:pPr>
            <w:r>
              <w:rPr>
                <w:rFonts w:hint="eastAsia" w:ascii="微软雅黑" w:hAnsi="微软雅黑" w:eastAsia="微软雅黑"/>
                <w:bCs/>
                <w:sz w:val="24"/>
              </w:rPr>
              <w:t xml:space="preserve">     2）经营风险</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识别与防范</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对管理团队的调查（重点在专业从业经历和历史信用记录）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对客户的生产进行调查（技术、产能、成本、设备等）</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对客户的供应和销售渠道进行调查</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对客户的供货合同详细调查</w:t>
            </w:r>
          </w:p>
          <w:p>
            <w:pPr>
              <w:spacing w:line="400" w:lineRule="exact"/>
              <w:rPr>
                <w:rFonts w:ascii="微软雅黑" w:hAnsi="微软雅黑" w:eastAsia="微软雅黑"/>
                <w:sz w:val="24"/>
              </w:rPr>
            </w:pPr>
            <w:r>
              <w:rPr>
                <w:rFonts w:hint="eastAsia" w:ascii="微软雅黑" w:hAnsi="微软雅黑" w:eastAsia="微软雅黑"/>
                <w:bCs/>
                <w:sz w:val="24"/>
              </w:rPr>
              <w:t xml:space="preserve">     3）财务风险</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识别与防范</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对客户资产负债的真实性进行调查</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对客户的财务状况进行分析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对贷款用途、用量、期限进行调查和分析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对还款来源进行调查和分析</w:t>
            </w:r>
          </w:p>
          <w:p>
            <w:pPr>
              <w:spacing w:line="400" w:lineRule="exact"/>
              <w:rPr>
                <w:rFonts w:ascii="微软雅黑" w:hAnsi="微软雅黑" w:eastAsia="微软雅黑"/>
                <w:sz w:val="24"/>
              </w:rPr>
            </w:pPr>
            <w:r>
              <w:rPr>
                <w:rFonts w:hint="eastAsia" w:ascii="微软雅黑" w:hAnsi="微软雅黑" w:eastAsia="微软雅黑"/>
                <w:bCs/>
                <w:sz w:val="24"/>
              </w:rPr>
              <w:t xml:space="preserve">     4）其他风险</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识别与防范</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政策风险的调查分析</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法律风险的调查分析</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来自担保机构自身的风险</w:t>
            </w:r>
          </w:p>
          <w:p>
            <w:pPr>
              <w:spacing w:line="400" w:lineRule="exact"/>
              <w:ind w:left="420" w:leftChars="200"/>
              <w:rPr>
                <w:rFonts w:ascii="微软雅黑" w:hAnsi="微软雅黑" w:eastAsia="微软雅黑"/>
                <w:sz w:val="24"/>
              </w:rPr>
            </w:pPr>
            <w:r>
              <w:rPr>
                <w:rFonts w:ascii="微软雅黑" w:hAnsi="微软雅黑" w:eastAsia="微软雅黑"/>
                <w:bCs/>
                <w:sz w:val="24"/>
              </w:rPr>
              <w:t>1</w:t>
            </w:r>
            <w:r>
              <w:rPr>
                <w:rFonts w:hint="eastAsia" w:ascii="微软雅黑" w:hAnsi="微软雅黑" w:eastAsia="微软雅黑"/>
                <w:bCs/>
                <w:sz w:val="24"/>
              </w:rPr>
              <w:t>、制度风险：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制度漏洞风险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制度执行风险</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2、操作风险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调查环节</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审批环节（反担保方案设定）</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操作流程环节</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保后监管环节</w:t>
            </w:r>
          </w:p>
          <w:p>
            <w:pPr>
              <w:spacing w:line="400" w:lineRule="exact"/>
              <w:ind w:left="420" w:leftChars="200"/>
              <w:rPr>
                <w:rFonts w:ascii="微软雅黑" w:hAnsi="微软雅黑" w:eastAsia="微软雅黑"/>
                <w:sz w:val="24"/>
              </w:rPr>
            </w:pPr>
            <w:r>
              <w:rPr>
                <w:rFonts w:hint="eastAsia" w:ascii="微软雅黑" w:hAnsi="微软雅黑" w:eastAsia="微软雅黑"/>
                <w:bCs/>
                <w:sz w:val="24"/>
              </w:rPr>
              <w:t>3、系统风险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担保产品风险</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产品结构风险</w:t>
            </w:r>
          </w:p>
          <w:p>
            <w:pPr>
              <w:numPr>
                <w:ilvl w:val="0"/>
                <w:numId w:val="4"/>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保后管理</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保后跟踪制度</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保后跟踪工作指引</w:t>
            </w:r>
          </w:p>
          <w:p>
            <w:pPr>
              <w:numPr>
                <w:ilvl w:val="1"/>
                <w:numId w:val="5"/>
              </w:numPr>
              <w:spacing w:line="360" w:lineRule="exac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保后跟踪预警</w:t>
            </w:r>
          </w:p>
          <w:p>
            <w:pPr>
              <w:numPr>
                <w:ilvl w:val="1"/>
                <w:numId w:val="5"/>
              </w:numPr>
              <w:spacing w:line="360" w:lineRule="exact"/>
            </w:pPr>
            <w:r>
              <w:rPr>
                <w:rFonts w:hint="eastAsia" w:ascii="微软雅黑" w:hAnsi="微软雅黑" w:eastAsia="微软雅黑" w:cs="仿宋_GB2312"/>
                <w:bCs/>
                <w:color w:val="000000"/>
                <w:sz w:val="24"/>
              </w:rPr>
              <w:t>担保贷款风险预警</w:t>
            </w:r>
          </w:p>
        </w:tc>
        <w:tc>
          <w:tcPr>
            <w:tcW w:w="2835" w:type="dxa"/>
            <w:vAlign w:val="center"/>
          </w:tcPr>
          <w:p>
            <w:pPr>
              <w:pStyle w:val="13"/>
              <w:numPr>
                <w:ilvl w:val="0"/>
                <w:numId w:val="1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了解保后风险管理工作内容及流程</w:t>
            </w:r>
          </w:p>
          <w:p>
            <w:pPr>
              <w:pStyle w:val="13"/>
              <w:numPr>
                <w:ilvl w:val="0"/>
                <w:numId w:val="1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建立保后风险应激机制，降低风险</w:t>
            </w:r>
          </w:p>
        </w:tc>
      </w:tr>
    </w:tbl>
    <w:p>
      <w:pPr>
        <w:spacing w:line="400" w:lineRule="exact"/>
        <w:jc w:val="center"/>
        <w:rPr>
          <w:rFonts w:ascii="微软雅黑" w:hAnsi="微软雅黑" w:eastAsia="微软雅黑" w:cs="微软雅黑"/>
          <w:b/>
          <w:bCs/>
          <w:spacing w:val="6"/>
          <w:kern w:val="0"/>
          <w:sz w:val="32"/>
          <w:szCs w:val="32"/>
        </w:rPr>
      </w:pPr>
    </w:p>
    <w:p>
      <w:pPr>
        <w:spacing w:afterLines="50" w:line="400" w:lineRule="exact"/>
        <w:jc w:val="left"/>
        <w:rPr>
          <w:rFonts w:ascii="微软雅黑" w:hAnsi="微软雅黑" w:eastAsia="微软雅黑" w:cs="微软雅黑"/>
          <w:b/>
          <w:bCs/>
          <w:spacing w:val="6"/>
          <w:kern w:val="0"/>
          <w:sz w:val="32"/>
          <w:szCs w:val="32"/>
        </w:rPr>
      </w:pPr>
      <w:r>
        <w:rPr>
          <w:rFonts w:hint="eastAsia" w:ascii="微软雅黑" w:hAnsi="微软雅黑" w:eastAsia="微软雅黑"/>
          <w:b/>
          <w:sz w:val="24"/>
          <w:szCs w:val="24"/>
        </w:rPr>
        <w:t>【主办单位简介】</w:t>
      </w:r>
    </w:p>
    <w:p>
      <w:pPr>
        <w:spacing w:line="400" w:lineRule="exact"/>
        <w:ind w:left="-210" w:leftChars="-100" w:firstLine="110" w:firstLineChars="50"/>
        <w:jc w:val="left"/>
        <w:rPr>
          <w:rFonts w:ascii="微软雅黑" w:hAnsi="微软雅黑" w:eastAsia="微软雅黑"/>
          <w:sz w:val="22"/>
        </w:rPr>
      </w:pPr>
      <w:r>
        <w:rPr>
          <w:rFonts w:hint="eastAsia" w:ascii="微软雅黑" w:hAnsi="微软雅黑" w:eastAsia="微软雅黑" w:cs="Times New Roman"/>
          <w:sz w:val="22"/>
        </w:rPr>
        <w:t xml:space="preserve"> </w:t>
      </w:r>
      <w:r>
        <w:rPr>
          <w:rFonts w:hint="eastAsia" w:ascii="微软雅黑" w:hAnsi="微软雅黑" w:eastAsia="微软雅黑"/>
          <w:sz w:val="22"/>
        </w:rPr>
        <w:t xml:space="preserve"> 国培机构全称为“北京国培创新教育科技股份有限公司”，是集“人才培养、金融服务和研究咨询”为一体两翼的“领先的小微与互联网金融综合服务平台”。机构学员遍布互联网金融、小贷、 担保、</w:t>
      </w:r>
      <w:bookmarkStart w:id="0" w:name="_GoBack"/>
      <w:bookmarkEnd w:id="0"/>
      <w:r>
        <w:rPr>
          <w:rFonts w:hint="eastAsia" w:ascii="微软雅黑" w:hAnsi="微软雅黑" w:eastAsia="微软雅黑"/>
          <w:sz w:val="22"/>
        </w:rPr>
        <w:t>典当、商业银行、企业财务、事业财务等领域。截至2015年底，国培机构已累计服务全国各地企事业单位三万多家、从业人员二十余万人，学员遍布全国31个省市，足迹遍布世界十几个国家和地区。其中，高端财务培训课程多年来在师资规格、参培人数、影响力上均领先全国市场，互联网金融与小微金融的课程在同类培训市场中占有率长期位居全国第一名。因此，国培机构被称为“中国CFO最信赖的财务培训服务机构”和“小微与互联网金融黄埔军校”。</w:t>
      </w:r>
    </w:p>
    <w:p>
      <w:pPr>
        <w:spacing w:line="400" w:lineRule="exact"/>
        <w:jc w:val="left"/>
        <w:rPr>
          <w:rFonts w:ascii="微软雅黑" w:hAnsi="微软雅黑" w:eastAsia="微软雅黑"/>
          <w:b/>
          <w:sz w:val="24"/>
          <w:szCs w:val="24"/>
        </w:rPr>
      </w:pPr>
      <w:r>
        <w:rPr>
          <w:rFonts w:hint="eastAsia" w:ascii="微软雅黑" w:hAnsi="微软雅黑" w:eastAsia="微软雅黑"/>
          <w:b/>
          <w:sz w:val="24"/>
          <w:szCs w:val="24"/>
        </w:rPr>
        <w:t>【参会费用】</w:t>
      </w:r>
    </w:p>
    <w:p>
      <w:pPr>
        <w:spacing w:line="400" w:lineRule="exact"/>
        <w:jc w:val="left"/>
        <w:rPr>
          <w:rFonts w:ascii="微软雅黑" w:hAnsi="微软雅黑" w:eastAsia="微软雅黑" w:cs="Times New Roman"/>
          <w:sz w:val="22"/>
        </w:rPr>
      </w:pPr>
      <w:r>
        <w:rPr>
          <w:rFonts w:hint="eastAsia" w:ascii="微软雅黑" w:hAnsi="微软雅黑" w:eastAsia="微软雅黑" w:cs="Times New Roman"/>
          <w:sz w:val="22"/>
        </w:rPr>
        <w:t>专题一培训费为3980元/人；培训期间食宿统一安排，住宿费及往返交通费用自理。</w:t>
      </w:r>
    </w:p>
    <w:p>
      <w:pPr>
        <w:spacing w:line="400" w:lineRule="exact"/>
        <w:ind w:left="-210" w:leftChars="-100" w:firstLine="110" w:firstLineChars="50"/>
        <w:jc w:val="center"/>
        <w:rPr>
          <w:rFonts w:ascii="微软雅黑" w:hAnsi="微软雅黑" w:eastAsia="微软雅黑"/>
          <w:b/>
          <w:bCs/>
          <w:color w:val="FF0000"/>
          <w:sz w:val="22"/>
        </w:rPr>
      </w:pPr>
      <w:r>
        <w:rPr>
          <w:rFonts w:hint="eastAsia" w:ascii="微软雅黑" w:hAnsi="微软雅黑" w:eastAsia="微软雅黑"/>
          <w:b/>
          <w:bCs/>
          <w:color w:val="FF0000"/>
          <w:sz w:val="22"/>
        </w:rPr>
        <w:t>另：1.国培机构凭借多年对担保行业的研究积淀，可根据企业的实际需求设计定制化课程，详情请与我们联系并索取《内训服务指南》。</w:t>
      </w:r>
    </w:p>
    <w:p>
      <w:pPr>
        <w:spacing w:line="400" w:lineRule="exact"/>
        <w:rPr>
          <w:rFonts w:hint="eastAsia" w:ascii="微软雅黑" w:hAnsi="微软雅黑" w:eastAsia="微软雅黑"/>
          <w:b/>
          <w:bCs/>
          <w:color w:val="FF0000"/>
          <w:sz w:val="22"/>
        </w:rPr>
      </w:pPr>
      <w:r>
        <w:rPr>
          <w:rFonts w:hint="eastAsia" w:ascii="微软雅黑" w:hAnsi="微软雅黑" w:eastAsia="微软雅黑"/>
          <w:b/>
          <w:bCs/>
          <w:color w:val="FF0000"/>
          <w:sz w:val="22"/>
        </w:rPr>
        <w:t xml:space="preserve">   2.凡参加国培学习的学员单位，将免费协助对接中国互联网金融协会信用信息共享平台（百行征信）。</w:t>
      </w:r>
    </w:p>
    <w:p>
      <w:pPr>
        <w:spacing w:line="400" w:lineRule="exact"/>
        <w:rPr>
          <w:rFonts w:hint="eastAsia" w:ascii="微软雅黑" w:hAnsi="微软雅黑" w:eastAsia="微软雅黑"/>
          <w:b/>
          <w:bCs/>
          <w:color w:val="FF0000"/>
          <w:sz w:val="22"/>
        </w:rPr>
      </w:pPr>
    </w:p>
    <w:p>
      <w:pPr>
        <w:spacing w:line="400" w:lineRule="exact"/>
        <w:rPr>
          <w:rFonts w:hint="eastAsia" w:ascii="微软雅黑" w:hAnsi="微软雅黑" w:eastAsia="微软雅黑"/>
          <w:b/>
          <w:bCs/>
          <w:color w:val="FF0000"/>
          <w:sz w:val="22"/>
        </w:rPr>
      </w:pPr>
    </w:p>
    <w:p>
      <w:pPr>
        <w:spacing w:line="400" w:lineRule="exact"/>
        <w:rPr>
          <w:rFonts w:hint="eastAsia" w:ascii="微软雅黑" w:hAnsi="微软雅黑" w:eastAsia="微软雅黑"/>
          <w:b/>
          <w:bCs/>
          <w:color w:val="FF0000"/>
          <w:sz w:val="22"/>
        </w:rPr>
      </w:pPr>
    </w:p>
    <w:p>
      <w:pPr>
        <w:spacing w:line="400" w:lineRule="exact"/>
        <w:rPr>
          <w:rFonts w:hint="eastAsia" w:ascii="微软雅黑" w:hAnsi="微软雅黑" w:eastAsia="微软雅黑"/>
          <w:b/>
          <w:bCs/>
          <w:color w:val="FF0000"/>
          <w:sz w:val="22"/>
        </w:rPr>
      </w:pPr>
    </w:p>
    <w:p>
      <w:pPr>
        <w:spacing w:line="400" w:lineRule="exact"/>
        <w:rPr>
          <w:rFonts w:hint="eastAsia" w:ascii="微软雅黑" w:hAnsi="微软雅黑" w:eastAsia="微软雅黑"/>
          <w:b/>
          <w:bCs/>
          <w:color w:val="FF0000"/>
          <w:sz w:val="22"/>
        </w:rPr>
      </w:pPr>
    </w:p>
    <w:p>
      <w:pPr>
        <w:spacing w:line="400" w:lineRule="exact"/>
        <w:jc w:val="left"/>
        <w:rPr>
          <w:rFonts w:ascii="微软雅黑" w:hAnsi="微软雅黑" w:eastAsia="微软雅黑"/>
          <w:b/>
          <w:bCs/>
          <w:sz w:val="22"/>
        </w:rPr>
      </w:pPr>
      <w:r>
        <w:rPr>
          <w:rFonts w:hint="eastAsia" w:ascii="微软雅黑" w:hAnsi="微软雅黑" w:eastAsia="微软雅黑"/>
          <w:b/>
          <w:bCs/>
          <w:sz w:val="22"/>
        </w:rPr>
        <w:t>附件</w:t>
      </w:r>
    </w:p>
    <w:p>
      <w:pPr>
        <w:spacing w:afterLines="50" w:line="400" w:lineRule="exact"/>
        <w:ind w:firstLine="420"/>
        <w:jc w:val="center"/>
        <w:rPr>
          <w:rFonts w:ascii="微软雅黑" w:hAnsi="微软雅黑" w:eastAsia="微软雅黑"/>
          <w:b/>
          <w:bCs/>
          <w:sz w:val="28"/>
          <w:szCs w:val="28"/>
        </w:rPr>
      </w:pPr>
      <w:r>
        <w:rPr>
          <w:rFonts w:hint="eastAsia" w:ascii="微软雅黑" w:hAnsi="微软雅黑" w:eastAsia="微软雅黑"/>
          <w:b/>
          <w:bCs/>
          <w:sz w:val="28"/>
          <w:szCs w:val="28"/>
        </w:rPr>
        <w:t>“国培机构2018年担保机构系列专题培训班”报名表</w:t>
      </w:r>
    </w:p>
    <w:tbl>
      <w:tblPr>
        <w:tblStyle w:val="10"/>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36"/>
        <w:gridCol w:w="498"/>
        <w:gridCol w:w="1061"/>
        <w:gridCol w:w="1349"/>
        <w:gridCol w:w="636"/>
        <w:gridCol w:w="923"/>
        <w:gridCol w:w="919"/>
        <w:gridCol w:w="73"/>
        <w:gridCol w:w="420"/>
        <w:gridCol w:w="6"/>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1560" w:type="dxa"/>
            <w:vAlign w:val="center"/>
          </w:tcPr>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单位名称</w:t>
            </w:r>
          </w:p>
          <w:p>
            <w:pPr>
              <w:spacing w:line="280" w:lineRule="exact"/>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22"/>
                <w:sz w:val="24"/>
                <w:szCs w:val="24"/>
              </w:rPr>
              <w:t>盖章</w:t>
            </w:r>
            <w:r>
              <w:rPr>
                <w:rFonts w:hint="eastAsia" w:ascii="微软雅黑" w:hAnsi="微软雅黑" w:eastAsia="微软雅黑" w:cs="仿宋_GB2312"/>
                <w:sz w:val="24"/>
                <w:szCs w:val="24"/>
              </w:rPr>
              <w:t>）</w:t>
            </w:r>
          </w:p>
        </w:tc>
        <w:tc>
          <w:tcPr>
            <w:tcW w:w="6515" w:type="dxa"/>
            <w:gridSpan w:val="9"/>
            <w:vAlign w:val="center"/>
          </w:tcPr>
          <w:p>
            <w:pPr>
              <w:spacing w:line="280" w:lineRule="exact"/>
              <w:rPr>
                <w:rFonts w:ascii="微软雅黑" w:hAnsi="微软雅黑" w:eastAsia="微软雅黑"/>
                <w:sz w:val="24"/>
                <w:szCs w:val="24"/>
              </w:rPr>
            </w:pPr>
          </w:p>
        </w:tc>
        <w:tc>
          <w:tcPr>
            <w:tcW w:w="856"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公司人数</w:t>
            </w:r>
          </w:p>
        </w:tc>
        <w:tc>
          <w:tcPr>
            <w:tcW w:w="709" w:type="dxa"/>
            <w:vAlign w:val="center"/>
          </w:tcPr>
          <w:p>
            <w:pPr>
              <w:spacing w:line="280" w:lineRule="exac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exact"/>
        </w:trPr>
        <w:tc>
          <w:tcPr>
            <w:tcW w:w="1560"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单位地址</w:t>
            </w:r>
          </w:p>
        </w:tc>
        <w:tc>
          <w:tcPr>
            <w:tcW w:w="6521" w:type="dxa"/>
            <w:gridSpan w:val="10"/>
            <w:vAlign w:val="center"/>
          </w:tcPr>
          <w:p>
            <w:pPr>
              <w:spacing w:line="280" w:lineRule="exact"/>
              <w:jc w:val="center"/>
              <w:rPr>
                <w:rFonts w:ascii="微软雅黑" w:hAnsi="微软雅黑" w:eastAsia="微软雅黑"/>
                <w:sz w:val="24"/>
                <w:szCs w:val="24"/>
              </w:rPr>
            </w:pPr>
          </w:p>
        </w:tc>
        <w:tc>
          <w:tcPr>
            <w:tcW w:w="850"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邮编</w:t>
            </w:r>
          </w:p>
        </w:tc>
        <w:tc>
          <w:tcPr>
            <w:tcW w:w="709" w:type="dxa"/>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1560" w:type="dxa"/>
            <w:vAlign w:val="center"/>
          </w:tcPr>
          <w:p>
            <w:pPr>
              <w:tabs>
                <w:tab w:val="left" w:pos="237"/>
                <w:tab w:val="left" w:pos="417"/>
              </w:tabs>
              <w:spacing w:line="280" w:lineRule="exact"/>
              <w:jc w:val="center"/>
              <w:rPr>
                <w:rFonts w:ascii="微软雅黑" w:hAnsi="微软雅黑" w:eastAsia="微软雅黑"/>
                <w:spacing w:val="50"/>
                <w:sz w:val="24"/>
                <w:szCs w:val="24"/>
              </w:rPr>
            </w:pPr>
            <w:r>
              <w:rPr>
                <w:rFonts w:hint="eastAsia" w:ascii="微软雅黑" w:hAnsi="微软雅黑" w:eastAsia="微软雅黑" w:cs="仿宋_GB2312"/>
                <w:sz w:val="24"/>
                <w:szCs w:val="24"/>
              </w:rPr>
              <w:t>成立年限</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注册资金</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exact"/>
        </w:trPr>
        <w:tc>
          <w:tcPr>
            <w:tcW w:w="1560" w:type="dxa"/>
            <w:vAlign w:val="center"/>
          </w:tcPr>
          <w:p>
            <w:pPr>
              <w:spacing w:line="280" w:lineRule="exact"/>
              <w:jc w:val="center"/>
              <w:rPr>
                <w:rFonts w:ascii="微软雅黑" w:hAnsi="微软雅黑" w:eastAsia="微软雅黑"/>
                <w:spacing w:val="44"/>
                <w:sz w:val="24"/>
                <w:szCs w:val="24"/>
              </w:rPr>
            </w:pPr>
            <w:r>
              <w:rPr>
                <w:rFonts w:hint="eastAsia" w:ascii="微软雅黑" w:hAnsi="微软雅黑" w:eastAsia="微软雅黑" w:cs="仿宋_GB2312"/>
                <w:spacing w:val="50"/>
                <w:sz w:val="24"/>
                <w:szCs w:val="24"/>
              </w:rPr>
              <w:t>联系人</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电话</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60" w:type="dxa"/>
            <w:vAlign w:val="center"/>
          </w:tcPr>
          <w:p>
            <w:pPr>
              <w:tabs>
                <w:tab w:val="left" w:pos="342"/>
              </w:tabs>
              <w:spacing w:line="280" w:lineRule="exact"/>
              <w:jc w:val="center"/>
              <w:rPr>
                <w:rFonts w:ascii="微软雅黑" w:hAnsi="微软雅黑" w:eastAsia="微软雅黑" w:cs="仿宋_GB2312"/>
                <w:b/>
                <w:spacing w:val="44"/>
                <w:sz w:val="24"/>
                <w:szCs w:val="24"/>
              </w:rPr>
            </w:pPr>
            <w:r>
              <w:rPr>
                <w:rFonts w:ascii="微软雅黑" w:hAnsi="微软雅黑" w:eastAsia="微软雅黑" w:cs="仿宋_GB2312"/>
                <w:b/>
                <w:spacing w:val="44"/>
                <w:sz w:val="24"/>
                <w:szCs w:val="24"/>
              </w:rPr>
              <w:t>E-mail</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传真</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560" w:type="dxa"/>
            <w:vAlign w:val="center"/>
          </w:tcPr>
          <w:p>
            <w:pPr>
              <w:spacing w:line="280" w:lineRule="exact"/>
              <w:jc w:val="center"/>
              <w:rPr>
                <w:rFonts w:ascii="微软雅黑" w:hAnsi="微软雅黑" w:eastAsia="微软雅黑" w:cs="仿宋_GB2312"/>
                <w:b/>
                <w:spacing w:val="44"/>
                <w:sz w:val="24"/>
                <w:szCs w:val="24"/>
              </w:rPr>
            </w:pPr>
            <w:r>
              <w:rPr>
                <w:rFonts w:hint="eastAsia" w:ascii="微软雅黑" w:hAnsi="微软雅黑" w:eastAsia="微软雅黑" w:cs="仿宋_GB2312"/>
                <w:b/>
                <w:spacing w:val="50"/>
                <w:sz w:val="24"/>
                <w:szCs w:val="24"/>
              </w:rPr>
              <w:t>纳税人识别号</w:t>
            </w:r>
          </w:p>
        </w:tc>
        <w:tc>
          <w:tcPr>
            <w:tcW w:w="8080" w:type="dxa"/>
            <w:gridSpan w:val="12"/>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560" w:type="dxa"/>
            <w:vAlign w:val="center"/>
          </w:tcPr>
          <w:p>
            <w:pPr>
              <w:spacing w:beforeLines="2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参训人员</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姓名</w:t>
            </w:r>
          </w:p>
        </w:tc>
        <w:tc>
          <w:tcPr>
            <w:tcW w:w="1134"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性别</w:t>
            </w:r>
          </w:p>
        </w:tc>
        <w:tc>
          <w:tcPr>
            <w:tcW w:w="1061"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职务</w:t>
            </w:r>
          </w:p>
        </w:tc>
        <w:tc>
          <w:tcPr>
            <w:tcW w:w="1349"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手机</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电话</w:t>
            </w: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从业</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年限</w:t>
            </w:r>
          </w:p>
        </w:tc>
        <w:tc>
          <w:tcPr>
            <w:tcW w:w="992" w:type="dxa"/>
            <w:gridSpan w:val="2"/>
            <w:vAlign w:val="center"/>
          </w:tcPr>
          <w:p>
            <w:pPr>
              <w:spacing w:line="280" w:lineRule="exact"/>
              <w:jc w:val="center"/>
              <w:rPr>
                <w:rFonts w:ascii="微软雅黑" w:hAnsi="微软雅黑" w:eastAsia="微软雅黑" w:cs="仿宋_GB2312"/>
                <w:sz w:val="24"/>
                <w:szCs w:val="24"/>
              </w:rPr>
            </w:pPr>
            <w:r>
              <w:rPr>
                <w:rFonts w:hint="eastAsia" w:ascii="微软雅黑" w:hAnsi="微软雅黑" w:eastAsia="微软雅黑" w:cs="仿宋_GB2312"/>
                <w:sz w:val="24"/>
                <w:szCs w:val="24"/>
              </w:rPr>
              <w:t>参训</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主题</w:t>
            </w:r>
          </w:p>
        </w:tc>
        <w:tc>
          <w:tcPr>
            <w:tcW w:w="1985" w:type="dxa"/>
            <w:gridSpan w:val="4"/>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住宿标准（打勾）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60" w:type="dxa"/>
          </w:tcPr>
          <w:p>
            <w:pPr>
              <w:spacing w:line="280" w:lineRule="exact"/>
              <w:jc w:val="center"/>
              <w:rPr>
                <w:rFonts w:ascii="微软雅黑" w:hAnsi="微软雅黑" w:eastAsia="微软雅黑"/>
                <w:sz w:val="24"/>
                <w:szCs w:val="24"/>
              </w:rPr>
            </w:pPr>
          </w:p>
        </w:tc>
        <w:tc>
          <w:tcPr>
            <w:tcW w:w="1134" w:type="dxa"/>
            <w:gridSpan w:val="2"/>
          </w:tcPr>
          <w:p>
            <w:pPr>
              <w:spacing w:line="280" w:lineRule="exact"/>
              <w:jc w:val="center"/>
              <w:rPr>
                <w:rFonts w:ascii="微软雅黑" w:hAnsi="微软雅黑" w:eastAsia="微软雅黑"/>
                <w:sz w:val="24"/>
                <w:szCs w:val="24"/>
              </w:rPr>
            </w:pPr>
          </w:p>
        </w:tc>
        <w:tc>
          <w:tcPr>
            <w:tcW w:w="1061" w:type="dxa"/>
          </w:tcPr>
          <w:p>
            <w:pPr>
              <w:spacing w:line="280" w:lineRule="exact"/>
              <w:jc w:val="center"/>
              <w:rPr>
                <w:rFonts w:ascii="微软雅黑" w:hAnsi="微软雅黑" w:eastAsia="微软雅黑"/>
                <w:sz w:val="24"/>
                <w:szCs w:val="24"/>
              </w:rPr>
            </w:pPr>
          </w:p>
        </w:tc>
        <w:tc>
          <w:tcPr>
            <w:tcW w:w="1349" w:type="dxa"/>
          </w:tcPr>
          <w:p>
            <w:pPr>
              <w:spacing w:line="280" w:lineRule="exact"/>
              <w:jc w:val="center"/>
              <w:rPr>
                <w:rFonts w:ascii="微软雅黑" w:hAnsi="微软雅黑" w:eastAsia="微软雅黑"/>
                <w:sz w:val="24"/>
                <w:szCs w:val="24"/>
              </w:rPr>
            </w:pPr>
          </w:p>
        </w:tc>
        <w:tc>
          <w:tcPr>
            <w:tcW w:w="1559" w:type="dxa"/>
            <w:gridSpan w:val="2"/>
          </w:tcPr>
          <w:p>
            <w:pPr>
              <w:spacing w:line="280" w:lineRule="exact"/>
              <w:jc w:val="center"/>
              <w:rPr>
                <w:rFonts w:ascii="微软雅黑" w:hAnsi="微软雅黑" w:eastAsia="微软雅黑"/>
                <w:sz w:val="24"/>
                <w:szCs w:val="24"/>
              </w:rPr>
            </w:pPr>
          </w:p>
        </w:tc>
        <w:tc>
          <w:tcPr>
            <w:tcW w:w="992" w:type="dxa"/>
            <w:gridSpan w:val="2"/>
          </w:tcPr>
          <w:p>
            <w:pPr>
              <w:spacing w:line="280" w:lineRule="exact"/>
              <w:jc w:val="center"/>
              <w:rPr>
                <w:rFonts w:ascii="微软雅黑" w:hAnsi="微软雅黑" w:eastAsia="微软雅黑"/>
                <w:sz w:val="24"/>
                <w:szCs w:val="24"/>
              </w:rPr>
            </w:pPr>
          </w:p>
        </w:tc>
        <w:tc>
          <w:tcPr>
            <w:tcW w:w="1985" w:type="dxa"/>
            <w:gridSpan w:val="4"/>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60" w:type="dxa"/>
          </w:tcPr>
          <w:p>
            <w:pPr>
              <w:spacing w:line="280" w:lineRule="exact"/>
              <w:jc w:val="center"/>
              <w:rPr>
                <w:rFonts w:ascii="微软雅黑" w:hAnsi="微软雅黑" w:eastAsia="微软雅黑"/>
                <w:sz w:val="24"/>
                <w:szCs w:val="24"/>
              </w:rPr>
            </w:pPr>
          </w:p>
        </w:tc>
        <w:tc>
          <w:tcPr>
            <w:tcW w:w="1134" w:type="dxa"/>
            <w:gridSpan w:val="2"/>
          </w:tcPr>
          <w:p>
            <w:pPr>
              <w:spacing w:line="280" w:lineRule="exact"/>
              <w:jc w:val="center"/>
              <w:rPr>
                <w:rFonts w:ascii="微软雅黑" w:hAnsi="微软雅黑" w:eastAsia="微软雅黑"/>
                <w:sz w:val="24"/>
                <w:szCs w:val="24"/>
              </w:rPr>
            </w:pPr>
          </w:p>
        </w:tc>
        <w:tc>
          <w:tcPr>
            <w:tcW w:w="1061" w:type="dxa"/>
          </w:tcPr>
          <w:p>
            <w:pPr>
              <w:spacing w:line="280" w:lineRule="exact"/>
              <w:jc w:val="center"/>
              <w:rPr>
                <w:rFonts w:ascii="微软雅黑" w:hAnsi="微软雅黑" w:eastAsia="微软雅黑"/>
                <w:sz w:val="24"/>
                <w:szCs w:val="24"/>
              </w:rPr>
            </w:pPr>
          </w:p>
        </w:tc>
        <w:tc>
          <w:tcPr>
            <w:tcW w:w="1349" w:type="dxa"/>
          </w:tcPr>
          <w:p>
            <w:pPr>
              <w:spacing w:line="280" w:lineRule="exact"/>
              <w:jc w:val="center"/>
              <w:rPr>
                <w:rFonts w:ascii="微软雅黑" w:hAnsi="微软雅黑" w:eastAsia="微软雅黑"/>
                <w:sz w:val="24"/>
                <w:szCs w:val="24"/>
              </w:rPr>
            </w:pPr>
          </w:p>
        </w:tc>
        <w:tc>
          <w:tcPr>
            <w:tcW w:w="1559" w:type="dxa"/>
            <w:gridSpan w:val="2"/>
          </w:tcPr>
          <w:p>
            <w:pPr>
              <w:spacing w:line="280" w:lineRule="exact"/>
              <w:jc w:val="center"/>
              <w:rPr>
                <w:rFonts w:ascii="微软雅黑" w:hAnsi="微软雅黑" w:eastAsia="微软雅黑"/>
                <w:sz w:val="24"/>
                <w:szCs w:val="24"/>
              </w:rPr>
            </w:pPr>
          </w:p>
        </w:tc>
        <w:tc>
          <w:tcPr>
            <w:tcW w:w="992" w:type="dxa"/>
            <w:gridSpan w:val="2"/>
          </w:tcPr>
          <w:p>
            <w:pPr>
              <w:spacing w:line="280" w:lineRule="exact"/>
              <w:jc w:val="center"/>
              <w:rPr>
                <w:rFonts w:ascii="微软雅黑" w:hAnsi="微软雅黑" w:eastAsia="微软雅黑"/>
                <w:sz w:val="24"/>
                <w:szCs w:val="24"/>
              </w:rPr>
            </w:pPr>
          </w:p>
        </w:tc>
        <w:tc>
          <w:tcPr>
            <w:tcW w:w="1985" w:type="dxa"/>
            <w:gridSpan w:val="4"/>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560" w:type="dxa"/>
          </w:tcPr>
          <w:p>
            <w:pPr>
              <w:spacing w:line="280" w:lineRule="exact"/>
              <w:jc w:val="center"/>
              <w:rPr>
                <w:rFonts w:ascii="微软雅黑" w:hAnsi="微软雅黑" w:eastAsia="微软雅黑"/>
                <w:sz w:val="24"/>
                <w:szCs w:val="24"/>
              </w:rPr>
            </w:pPr>
          </w:p>
        </w:tc>
        <w:tc>
          <w:tcPr>
            <w:tcW w:w="1134" w:type="dxa"/>
            <w:gridSpan w:val="2"/>
          </w:tcPr>
          <w:p>
            <w:pPr>
              <w:spacing w:line="280" w:lineRule="exact"/>
              <w:jc w:val="center"/>
              <w:rPr>
                <w:rFonts w:ascii="微软雅黑" w:hAnsi="微软雅黑" w:eastAsia="微软雅黑"/>
                <w:sz w:val="24"/>
                <w:szCs w:val="24"/>
              </w:rPr>
            </w:pPr>
          </w:p>
        </w:tc>
        <w:tc>
          <w:tcPr>
            <w:tcW w:w="1061" w:type="dxa"/>
          </w:tcPr>
          <w:p>
            <w:pPr>
              <w:spacing w:line="280" w:lineRule="exact"/>
              <w:jc w:val="center"/>
              <w:rPr>
                <w:rFonts w:ascii="微软雅黑" w:hAnsi="微软雅黑" w:eastAsia="微软雅黑"/>
                <w:sz w:val="24"/>
                <w:szCs w:val="24"/>
              </w:rPr>
            </w:pPr>
          </w:p>
        </w:tc>
        <w:tc>
          <w:tcPr>
            <w:tcW w:w="1349" w:type="dxa"/>
          </w:tcPr>
          <w:p>
            <w:pPr>
              <w:spacing w:line="280" w:lineRule="exact"/>
              <w:jc w:val="center"/>
              <w:rPr>
                <w:rFonts w:ascii="微软雅黑" w:hAnsi="微软雅黑" w:eastAsia="微软雅黑"/>
                <w:sz w:val="24"/>
                <w:szCs w:val="24"/>
              </w:rPr>
            </w:pPr>
          </w:p>
        </w:tc>
        <w:tc>
          <w:tcPr>
            <w:tcW w:w="1559" w:type="dxa"/>
            <w:gridSpan w:val="2"/>
          </w:tcPr>
          <w:p>
            <w:pPr>
              <w:spacing w:line="280" w:lineRule="exact"/>
              <w:jc w:val="center"/>
              <w:rPr>
                <w:rFonts w:ascii="微软雅黑" w:hAnsi="微软雅黑" w:eastAsia="微软雅黑"/>
                <w:sz w:val="24"/>
                <w:szCs w:val="24"/>
              </w:rPr>
            </w:pPr>
          </w:p>
        </w:tc>
        <w:tc>
          <w:tcPr>
            <w:tcW w:w="992" w:type="dxa"/>
            <w:gridSpan w:val="2"/>
          </w:tcPr>
          <w:p>
            <w:pPr>
              <w:spacing w:line="280" w:lineRule="exact"/>
              <w:jc w:val="center"/>
              <w:rPr>
                <w:rFonts w:ascii="微软雅黑" w:hAnsi="微软雅黑" w:eastAsia="微软雅黑"/>
                <w:sz w:val="24"/>
                <w:szCs w:val="24"/>
              </w:rPr>
            </w:pPr>
          </w:p>
        </w:tc>
        <w:tc>
          <w:tcPr>
            <w:tcW w:w="1985" w:type="dxa"/>
            <w:gridSpan w:val="4"/>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Pr>
          <w:p>
            <w:pPr>
              <w:spacing w:line="280" w:lineRule="exact"/>
              <w:jc w:val="center"/>
              <w:rPr>
                <w:rFonts w:ascii="微软雅黑" w:hAnsi="微软雅黑" w:eastAsia="微软雅黑"/>
                <w:sz w:val="24"/>
                <w:szCs w:val="24"/>
              </w:rPr>
            </w:pPr>
          </w:p>
        </w:tc>
        <w:tc>
          <w:tcPr>
            <w:tcW w:w="1134" w:type="dxa"/>
            <w:gridSpan w:val="2"/>
          </w:tcPr>
          <w:p>
            <w:pPr>
              <w:spacing w:line="280" w:lineRule="exact"/>
              <w:jc w:val="center"/>
              <w:rPr>
                <w:rFonts w:ascii="微软雅黑" w:hAnsi="微软雅黑" w:eastAsia="微软雅黑"/>
                <w:sz w:val="24"/>
                <w:szCs w:val="24"/>
              </w:rPr>
            </w:pPr>
          </w:p>
        </w:tc>
        <w:tc>
          <w:tcPr>
            <w:tcW w:w="1061" w:type="dxa"/>
          </w:tcPr>
          <w:p>
            <w:pPr>
              <w:spacing w:line="280" w:lineRule="exact"/>
              <w:jc w:val="center"/>
              <w:rPr>
                <w:rFonts w:ascii="微软雅黑" w:hAnsi="微软雅黑" w:eastAsia="微软雅黑"/>
                <w:sz w:val="24"/>
                <w:szCs w:val="24"/>
              </w:rPr>
            </w:pPr>
          </w:p>
        </w:tc>
        <w:tc>
          <w:tcPr>
            <w:tcW w:w="1349" w:type="dxa"/>
          </w:tcPr>
          <w:p>
            <w:pPr>
              <w:spacing w:line="280" w:lineRule="exact"/>
              <w:jc w:val="center"/>
              <w:rPr>
                <w:rFonts w:ascii="微软雅黑" w:hAnsi="微软雅黑" w:eastAsia="微软雅黑"/>
                <w:sz w:val="24"/>
                <w:szCs w:val="24"/>
              </w:rPr>
            </w:pPr>
          </w:p>
        </w:tc>
        <w:tc>
          <w:tcPr>
            <w:tcW w:w="1559" w:type="dxa"/>
            <w:gridSpan w:val="2"/>
          </w:tcPr>
          <w:p>
            <w:pPr>
              <w:spacing w:line="280" w:lineRule="exact"/>
              <w:jc w:val="center"/>
              <w:rPr>
                <w:rFonts w:ascii="微软雅黑" w:hAnsi="微软雅黑" w:eastAsia="微软雅黑"/>
                <w:sz w:val="24"/>
                <w:szCs w:val="24"/>
              </w:rPr>
            </w:pPr>
          </w:p>
        </w:tc>
        <w:tc>
          <w:tcPr>
            <w:tcW w:w="992" w:type="dxa"/>
            <w:gridSpan w:val="2"/>
          </w:tcPr>
          <w:p>
            <w:pPr>
              <w:spacing w:line="280" w:lineRule="exact"/>
              <w:jc w:val="center"/>
              <w:rPr>
                <w:rFonts w:ascii="微软雅黑" w:hAnsi="微软雅黑" w:eastAsia="微软雅黑"/>
                <w:sz w:val="24"/>
                <w:szCs w:val="24"/>
              </w:rPr>
            </w:pPr>
          </w:p>
        </w:tc>
        <w:tc>
          <w:tcPr>
            <w:tcW w:w="1985" w:type="dxa"/>
            <w:gridSpan w:val="4"/>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640" w:type="dxa"/>
            <w:gridSpan w:val="13"/>
            <w:vAlign w:val="center"/>
          </w:tcPr>
          <w:p>
            <w:pPr>
              <w:tabs>
                <w:tab w:val="left" w:pos="5385"/>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bCs/>
                <w:sz w:val="24"/>
                <w:szCs w:val="24"/>
              </w:rPr>
              <w:t>为确保现场服务质量，请各位参训人员提前将培训费汇入指定银行账号，并将银行汇款凭证和报名表传真至班务组。我们将按照先汇款先预定的原则，根据汇款到账日期优先安排并于开班前5天告知详细的报到地点、行车路线等具体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640" w:type="dxa"/>
            <w:gridSpan w:val="13"/>
            <w:vAlign w:val="center"/>
          </w:tcPr>
          <w:p>
            <w:pPr>
              <w:tabs>
                <w:tab w:val="left" w:pos="360"/>
                <w:tab w:val="left" w:pos="540"/>
              </w:tabs>
              <w:spacing w:line="280" w:lineRule="exact"/>
              <w:rPr>
                <w:rFonts w:ascii="微软雅黑" w:hAnsi="微软雅黑" w:eastAsia="微软雅黑"/>
                <w:sz w:val="24"/>
                <w:szCs w:val="24"/>
              </w:rPr>
            </w:pPr>
            <w:r>
              <w:rPr>
                <w:rFonts w:hint="eastAsia" w:ascii="微软雅黑" w:hAnsi="微软雅黑" w:eastAsia="微软雅黑" w:cs="仿宋_GB2312"/>
                <w:sz w:val="24"/>
                <w:szCs w:val="24"/>
              </w:rPr>
              <w:t>请将培训费汇至以下单位账户：</w:t>
            </w:r>
          </w:p>
          <w:p>
            <w:pPr>
              <w:tabs>
                <w:tab w:val="left" w:pos="0"/>
                <w:tab w:val="left" w:pos="9072"/>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户  名：北京国培创新教育科技股份有限公司</w:t>
            </w:r>
          </w:p>
          <w:p>
            <w:pPr>
              <w:tabs>
                <w:tab w:val="left" w:pos="0"/>
                <w:tab w:val="left" w:pos="9072"/>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开户行：中国工商银行海淀支行营业部</w:t>
            </w:r>
          </w:p>
          <w:p>
            <w:pPr>
              <w:tabs>
                <w:tab w:val="left" w:pos="5385"/>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账  号：</w:t>
            </w:r>
            <w:r>
              <w:rPr>
                <w:rFonts w:ascii="微软雅黑" w:hAnsi="微软雅黑" w:eastAsia="微软雅黑" w:cs="仿宋_GB2312"/>
                <w:sz w:val="24"/>
                <w:szCs w:val="24"/>
              </w:rPr>
              <w:t>0200151609100016356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96" w:type="dxa"/>
            <w:gridSpan w:val="2"/>
            <w:vAlign w:val="center"/>
          </w:tcPr>
          <w:p>
            <w:pPr>
              <w:spacing w:line="280" w:lineRule="exact"/>
              <w:ind w:left="-141" w:leftChars="-67" w:right="-107" w:rightChars="-51"/>
              <w:jc w:val="center"/>
              <w:rPr>
                <w:rFonts w:ascii="微软雅黑" w:hAnsi="微软雅黑" w:eastAsia="微软雅黑"/>
                <w:sz w:val="24"/>
                <w:szCs w:val="24"/>
              </w:rPr>
            </w:pPr>
            <w:r>
              <w:rPr>
                <w:rFonts w:hint="eastAsia" w:ascii="微软雅黑" w:hAnsi="微软雅黑" w:eastAsia="微软雅黑" w:cs="仿宋_GB2312"/>
                <w:sz w:val="24"/>
                <w:szCs w:val="24"/>
              </w:rPr>
              <w:t>电汇金额</w:t>
            </w:r>
          </w:p>
        </w:tc>
        <w:tc>
          <w:tcPr>
            <w:tcW w:w="3544" w:type="dxa"/>
            <w:gridSpan w:val="4"/>
            <w:vAlign w:val="center"/>
          </w:tcPr>
          <w:p>
            <w:pPr>
              <w:tabs>
                <w:tab w:val="left" w:pos="360"/>
                <w:tab w:val="left" w:pos="540"/>
              </w:tabs>
              <w:spacing w:line="280" w:lineRule="exact"/>
              <w:ind w:firstLine="240" w:firstLineChars="100"/>
              <w:jc w:val="right"/>
              <w:rPr>
                <w:rFonts w:ascii="微软雅黑" w:hAnsi="微软雅黑" w:eastAsia="微软雅黑"/>
                <w:sz w:val="24"/>
                <w:szCs w:val="24"/>
              </w:rPr>
            </w:pPr>
            <w:r>
              <w:rPr>
                <w:rFonts w:hint="eastAsia" w:ascii="微软雅黑" w:hAnsi="微软雅黑" w:eastAsia="微软雅黑" w:cs="仿宋_GB2312"/>
                <w:sz w:val="24"/>
                <w:szCs w:val="24"/>
              </w:rPr>
              <w:t>万  仟  佰  拾  元</w:t>
            </w:r>
          </w:p>
        </w:tc>
        <w:tc>
          <w:tcPr>
            <w:tcW w:w="1842" w:type="dxa"/>
            <w:gridSpan w:val="2"/>
            <w:vAlign w:val="center"/>
          </w:tcPr>
          <w:p>
            <w:pPr>
              <w:tabs>
                <w:tab w:val="left" w:pos="360"/>
                <w:tab w:val="left" w:pos="540"/>
              </w:tabs>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电汇日期</w:t>
            </w:r>
          </w:p>
        </w:tc>
        <w:tc>
          <w:tcPr>
            <w:tcW w:w="2058" w:type="dxa"/>
            <w:gridSpan w:val="5"/>
            <w:vAlign w:val="center"/>
          </w:tcPr>
          <w:p>
            <w:pPr>
              <w:tabs>
                <w:tab w:val="left" w:pos="360"/>
                <w:tab w:val="left" w:pos="540"/>
              </w:tabs>
              <w:spacing w:line="280" w:lineRule="exact"/>
              <w:jc w:val="center"/>
              <w:rPr>
                <w:rFonts w:ascii="微软雅黑" w:hAnsi="微软雅黑" w:eastAsia="微软雅黑"/>
                <w:sz w:val="24"/>
                <w:szCs w:val="24"/>
              </w:rPr>
            </w:pPr>
            <w:r>
              <w:rPr>
                <w:rFonts w:ascii="微软雅黑" w:hAnsi="微软雅黑" w:eastAsia="微软雅黑" w:cs="仿宋_GB2312"/>
                <w:sz w:val="24"/>
                <w:szCs w:val="24"/>
              </w:rPr>
              <w:t>201</w:t>
            </w:r>
            <w:r>
              <w:rPr>
                <w:rFonts w:hint="eastAsia" w:ascii="微软雅黑" w:hAnsi="微软雅黑" w:eastAsia="微软雅黑" w:cs="仿宋_GB2312"/>
                <w:sz w:val="24"/>
                <w:szCs w:val="24"/>
              </w:rPr>
              <w:t>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196" w:type="dxa"/>
            <w:gridSpan w:val="2"/>
            <w:vAlign w:val="center"/>
          </w:tcPr>
          <w:p>
            <w:pPr>
              <w:spacing w:line="280" w:lineRule="exact"/>
              <w:ind w:right="-107" w:rightChars="-51"/>
              <w:jc w:val="center"/>
              <w:rPr>
                <w:rFonts w:ascii="微软雅黑" w:hAnsi="微软雅黑" w:eastAsia="微软雅黑" w:cs="仿宋_GB2312"/>
                <w:sz w:val="24"/>
                <w:szCs w:val="24"/>
              </w:rPr>
            </w:pPr>
            <w:r>
              <w:rPr>
                <w:rFonts w:hint="eastAsia" w:ascii="微软雅黑" w:hAnsi="微软雅黑" w:eastAsia="微软雅黑" w:cs="仿宋_GB2312"/>
                <w:b/>
                <w:color w:val="FF0000"/>
                <w:sz w:val="24"/>
                <w:szCs w:val="24"/>
              </w:rPr>
              <w:t>期望交流的问题</w:t>
            </w:r>
          </w:p>
          <w:p>
            <w:pPr>
              <w:spacing w:line="280" w:lineRule="exact"/>
              <w:ind w:right="-107" w:rightChars="-51"/>
              <w:jc w:val="center"/>
              <w:rPr>
                <w:rFonts w:ascii="微软雅黑" w:hAnsi="微软雅黑" w:eastAsia="微软雅黑"/>
                <w:b/>
                <w:sz w:val="24"/>
                <w:szCs w:val="24"/>
              </w:rPr>
            </w:pPr>
            <w:r>
              <w:rPr>
                <w:rFonts w:hint="eastAsia" w:ascii="微软雅黑" w:hAnsi="微软雅黑" w:eastAsia="微软雅黑" w:cs="仿宋_GB2312"/>
                <w:sz w:val="24"/>
                <w:szCs w:val="24"/>
              </w:rPr>
              <w:t>（至少列举三点）</w:t>
            </w:r>
          </w:p>
        </w:tc>
        <w:tc>
          <w:tcPr>
            <w:tcW w:w="7444" w:type="dxa"/>
            <w:gridSpan w:val="11"/>
          </w:tcPr>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96" w:type="dxa"/>
            <w:gridSpan w:val="2"/>
            <w:vAlign w:val="center"/>
          </w:tcPr>
          <w:p>
            <w:pPr>
              <w:spacing w:line="280" w:lineRule="exact"/>
              <w:ind w:left="-141" w:leftChars="-67" w:right="-107" w:rightChars="-51"/>
              <w:jc w:val="center"/>
              <w:rPr>
                <w:rFonts w:ascii="微软雅黑" w:hAnsi="微软雅黑" w:eastAsia="微软雅黑"/>
                <w:sz w:val="24"/>
                <w:szCs w:val="24"/>
              </w:rPr>
            </w:pPr>
            <w:r>
              <w:rPr>
                <w:rFonts w:hint="eastAsia" w:ascii="微软雅黑" w:hAnsi="微软雅黑" w:eastAsia="微软雅黑" w:cs="仿宋_GB2312"/>
                <w:sz w:val="24"/>
                <w:szCs w:val="24"/>
              </w:rPr>
              <w:t>最关注的课程模块</w:t>
            </w:r>
          </w:p>
        </w:tc>
        <w:tc>
          <w:tcPr>
            <w:tcW w:w="7444" w:type="dxa"/>
            <w:gridSpan w:val="11"/>
          </w:tcPr>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tc>
      </w:tr>
    </w:tbl>
    <w:p>
      <w:pPr>
        <w:spacing w:beforeLines="50" w:afterLines="50" w:line="280" w:lineRule="exact"/>
        <w:rPr>
          <w:rFonts w:ascii="微软雅黑" w:hAnsi="微软雅黑" w:eastAsia="微软雅黑" w:cs="仿宋_GB2312"/>
          <w:b/>
          <w:bCs/>
          <w:sz w:val="18"/>
          <w:szCs w:val="18"/>
        </w:rPr>
      </w:pPr>
      <w:r>
        <w:rPr>
          <w:rFonts w:hint="eastAsia" w:ascii="微软雅黑" w:hAnsi="微软雅黑" w:eastAsia="微软雅黑" w:cs="仿宋_GB2312"/>
          <w:b/>
          <w:bCs/>
          <w:sz w:val="18"/>
          <w:szCs w:val="18"/>
        </w:rPr>
        <w:t xml:space="preserve">备注：①此表复印有效。②请于开班前5天将此表传真至010-52723989确认。 </w:t>
      </w:r>
    </w:p>
    <w:p>
      <w:pPr>
        <w:spacing w:beforeLines="50" w:afterLines="50" w:line="280" w:lineRule="exact"/>
        <w:rPr>
          <w:rFonts w:ascii="微软雅黑" w:hAnsi="微软雅黑" w:eastAsia="微软雅黑" w:cs="仿宋_GB2312"/>
          <w:b/>
          <w:bCs/>
          <w:sz w:val="18"/>
          <w:szCs w:val="18"/>
        </w:rPr>
      </w:pPr>
      <w:r>
        <w:rPr>
          <w:rFonts w:hint="eastAsia" w:ascii="微软雅黑" w:hAnsi="微软雅黑" w:eastAsia="微软雅黑" w:cs="仿宋_GB2312"/>
          <w:b/>
          <w:bCs/>
          <w:sz w:val="18"/>
          <w:szCs w:val="18"/>
        </w:rPr>
        <w:t>联系人： 王老师</w:t>
      </w:r>
    </w:p>
    <w:sectPr>
      <w:headerReference r:id="rId4" w:type="default"/>
      <w:footerReference r:id="rId5"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620"/>
        <w:tab w:val="clear" w:pos="8306"/>
      </w:tabs>
      <w:ind w:right="-313" w:rightChars="-149"/>
      <w:rPr>
        <w:szCs w:val="18"/>
      </w:rPr>
    </w:pPr>
    <w:r>
      <w:rPr>
        <w:rFonts w:hint="eastAsia" w:ascii="Calibri" w:hAnsi="Calibri"/>
        <w:sz w:val="21"/>
        <w:szCs w:val="21"/>
      </w:rPr>
      <w:t xml:space="preserve"> </w:t>
    </w:r>
    <w:r>
      <w:rPr>
        <w:rFonts w:hint="eastAsia" w:ascii="Calibri" w:hAnsi="Calibri"/>
        <w:szCs w:val="18"/>
      </w:rPr>
      <w:t>课程为国培机构教研部独家研发，版权归国培机构所有；未经同意，禁止任何机构使用，违者必究。</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20" w:firstLineChars="2400"/>
    </w:pPr>
    <w:r>
      <w:rPr>
        <w:rFonts w:hint="eastAsia"/>
      </w:rPr>
      <w:drawing>
        <wp:anchor distT="0" distB="0" distL="114300" distR="114300" simplePos="0" relativeHeight="251658240" behindDoc="0" locked="0" layoutInCell="1" allowOverlap="1">
          <wp:simplePos x="0" y="0"/>
          <wp:positionH relativeFrom="column">
            <wp:posOffset>-162560</wp:posOffset>
          </wp:positionH>
          <wp:positionV relativeFrom="paragraph">
            <wp:posOffset>-98425</wp:posOffset>
          </wp:positionV>
          <wp:extent cx="1343025" cy="352425"/>
          <wp:effectExtent l="0" t="0" r="9525" b="9525"/>
          <wp:wrapNone/>
          <wp:docPr id="7" name="图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logo.jpg"/>
                  <pic:cNvPicPr>
                    <a:picLocks noChangeAspect="1"/>
                  </pic:cNvPicPr>
                </pic:nvPicPr>
                <pic:blipFill>
                  <a:blip r:embed="rId1"/>
                  <a:stretch>
                    <a:fillRect/>
                  </a:stretch>
                </pic:blipFill>
                <pic:spPr>
                  <a:xfrm>
                    <a:off x="0" y="0"/>
                    <a:ext cx="1343025" cy="352425"/>
                  </a:xfrm>
                  <a:prstGeom prst="rect">
                    <a:avLst/>
                  </a:prstGeom>
                  <a:noFill/>
                  <a:ln w="9525">
                    <a:noFill/>
                    <a:miter/>
                  </a:ln>
                </pic:spPr>
              </pic:pic>
            </a:graphicData>
          </a:graphic>
        </wp:anchor>
      </w:drawing>
    </w:r>
    <w:r>
      <w:rPr>
        <w:rFonts w:hint="eastAsia" w:ascii="华文行楷" w:hAnsi="微软雅黑" w:eastAsia="华文行楷"/>
        <w:sz w:val="30"/>
        <w:szCs w:val="30"/>
      </w:rPr>
      <w:t>2005—2018十年专注，铸就品牌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295"/>
    <w:multiLevelType w:val="multilevel"/>
    <w:tmpl w:val="063C62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71A1719"/>
    <w:multiLevelType w:val="multilevel"/>
    <w:tmpl w:val="071A1719"/>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2E20E6"/>
    <w:multiLevelType w:val="multilevel"/>
    <w:tmpl w:val="072E20E6"/>
    <w:lvl w:ilvl="0" w:tentative="0">
      <w:start w:val="1"/>
      <w:numFmt w:val="bullet"/>
      <w:lvlText w:val=""/>
      <w:lvlJc w:val="left"/>
      <w:pPr>
        <w:ind w:left="813" w:hanging="420"/>
      </w:pPr>
      <w:rPr>
        <w:rFonts w:hint="default" w:ascii="Wingdings" w:hAnsi="Wingdings"/>
      </w:rPr>
    </w:lvl>
    <w:lvl w:ilvl="1" w:tentative="0">
      <w:start w:val="1"/>
      <w:numFmt w:val="bullet"/>
      <w:lvlText w:val=""/>
      <w:lvlJc w:val="left"/>
      <w:pPr>
        <w:ind w:left="1233" w:hanging="420"/>
      </w:pPr>
      <w:rPr>
        <w:rFonts w:hint="default" w:ascii="Wingdings" w:hAnsi="Wingdings"/>
      </w:rPr>
    </w:lvl>
    <w:lvl w:ilvl="2" w:tentative="0">
      <w:start w:val="1"/>
      <w:numFmt w:val="bullet"/>
      <w:lvlText w:val=""/>
      <w:lvlJc w:val="left"/>
      <w:pPr>
        <w:ind w:left="1653" w:hanging="420"/>
      </w:pPr>
      <w:rPr>
        <w:rFonts w:hint="default" w:ascii="Wingdings" w:hAnsi="Wingdings"/>
      </w:rPr>
    </w:lvl>
    <w:lvl w:ilvl="3" w:tentative="0">
      <w:start w:val="1"/>
      <w:numFmt w:val="bullet"/>
      <w:lvlText w:val=""/>
      <w:lvlJc w:val="left"/>
      <w:pPr>
        <w:ind w:left="2073" w:hanging="420"/>
      </w:pPr>
      <w:rPr>
        <w:rFonts w:hint="default" w:ascii="Wingdings" w:hAnsi="Wingdings"/>
      </w:rPr>
    </w:lvl>
    <w:lvl w:ilvl="4" w:tentative="0">
      <w:start w:val="1"/>
      <w:numFmt w:val="bullet"/>
      <w:lvlText w:val=""/>
      <w:lvlJc w:val="left"/>
      <w:pPr>
        <w:ind w:left="2493" w:hanging="420"/>
      </w:pPr>
      <w:rPr>
        <w:rFonts w:hint="default" w:ascii="Wingdings" w:hAnsi="Wingdings"/>
      </w:rPr>
    </w:lvl>
    <w:lvl w:ilvl="5" w:tentative="0">
      <w:start w:val="1"/>
      <w:numFmt w:val="bullet"/>
      <w:lvlText w:val=""/>
      <w:lvlJc w:val="left"/>
      <w:pPr>
        <w:ind w:left="2913" w:hanging="420"/>
      </w:pPr>
      <w:rPr>
        <w:rFonts w:hint="default" w:ascii="Wingdings" w:hAnsi="Wingdings"/>
      </w:rPr>
    </w:lvl>
    <w:lvl w:ilvl="6" w:tentative="0">
      <w:start w:val="1"/>
      <w:numFmt w:val="bullet"/>
      <w:lvlText w:val=""/>
      <w:lvlJc w:val="left"/>
      <w:pPr>
        <w:ind w:left="3333" w:hanging="420"/>
      </w:pPr>
      <w:rPr>
        <w:rFonts w:hint="default" w:ascii="Wingdings" w:hAnsi="Wingdings"/>
      </w:rPr>
    </w:lvl>
    <w:lvl w:ilvl="7" w:tentative="0">
      <w:start w:val="1"/>
      <w:numFmt w:val="bullet"/>
      <w:lvlText w:val=""/>
      <w:lvlJc w:val="left"/>
      <w:pPr>
        <w:ind w:left="3753" w:hanging="420"/>
      </w:pPr>
      <w:rPr>
        <w:rFonts w:hint="default" w:ascii="Wingdings" w:hAnsi="Wingdings"/>
      </w:rPr>
    </w:lvl>
    <w:lvl w:ilvl="8" w:tentative="0">
      <w:start w:val="1"/>
      <w:numFmt w:val="bullet"/>
      <w:lvlText w:val=""/>
      <w:lvlJc w:val="left"/>
      <w:pPr>
        <w:ind w:left="4173" w:hanging="420"/>
      </w:pPr>
      <w:rPr>
        <w:rFonts w:hint="default" w:ascii="Wingdings" w:hAnsi="Wingdings"/>
      </w:rPr>
    </w:lvl>
  </w:abstractNum>
  <w:abstractNum w:abstractNumId="3">
    <w:nsid w:val="1D5749D6"/>
    <w:multiLevelType w:val="multilevel"/>
    <w:tmpl w:val="1D5749D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55B481B"/>
    <w:multiLevelType w:val="multilevel"/>
    <w:tmpl w:val="255B481B"/>
    <w:lvl w:ilvl="0" w:tentative="0">
      <w:start w:val="1"/>
      <w:numFmt w:val="decimal"/>
      <w:lvlText w:val="%1."/>
      <w:lvlJc w:val="left"/>
      <w:pPr>
        <w:ind w:left="845" w:hanging="4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B0055A8"/>
    <w:multiLevelType w:val="multilevel"/>
    <w:tmpl w:val="2B0055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28134B9"/>
    <w:multiLevelType w:val="multilevel"/>
    <w:tmpl w:val="328134B9"/>
    <w:lvl w:ilvl="0" w:tentative="0">
      <w:start w:val="1"/>
      <w:numFmt w:val="decimal"/>
      <w:lvlText w:val="%1."/>
      <w:lvlJc w:val="left"/>
      <w:pPr>
        <w:ind w:left="860" w:hanging="420"/>
      </w:pPr>
      <w:rPr>
        <w:rFonts w:hint="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56611CF6"/>
    <w:multiLevelType w:val="multilevel"/>
    <w:tmpl w:val="56611CF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67BA278"/>
    <w:multiLevelType w:val="singleLevel"/>
    <w:tmpl w:val="567BA278"/>
    <w:lvl w:ilvl="0" w:tentative="0">
      <w:start w:val="1"/>
      <w:numFmt w:val="bullet"/>
      <w:lvlText w:val=""/>
      <w:lvlJc w:val="left"/>
      <w:pPr>
        <w:tabs>
          <w:tab w:val="left" w:pos="420"/>
        </w:tabs>
        <w:ind w:left="420" w:hanging="420"/>
      </w:pPr>
      <w:rPr>
        <w:rFonts w:hint="default" w:ascii="Wingdings" w:hAnsi="Wingdings"/>
      </w:rPr>
    </w:lvl>
  </w:abstractNum>
  <w:abstractNum w:abstractNumId="9">
    <w:nsid w:val="56A5CDE7"/>
    <w:multiLevelType w:val="singleLevel"/>
    <w:tmpl w:val="56A5CDE7"/>
    <w:lvl w:ilvl="0" w:tentative="0">
      <w:start w:val="1"/>
      <w:numFmt w:val="bullet"/>
      <w:lvlText w:val=""/>
      <w:lvlJc w:val="left"/>
      <w:pPr>
        <w:tabs>
          <w:tab w:val="left" w:pos="420"/>
        </w:tabs>
        <w:ind w:left="420" w:hanging="420"/>
      </w:pPr>
      <w:rPr>
        <w:rFonts w:hint="default" w:ascii="Wingdings" w:hAnsi="Wingdings"/>
      </w:rPr>
    </w:lvl>
  </w:abstractNum>
  <w:abstractNum w:abstractNumId="10">
    <w:nsid w:val="56C1303D"/>
    <w:multiLevelType w:val="singleLevel"/>
    <w:tmpl w:val="56C1303D"/>
    <w:lvl w:ilvl="0" w:tentative="0">
      <w:start w:val="1"/>
      <w:numFmt w:val="bullet"/>
      <w:lvlText w:val=""/>
      <w:lvlJc w:val="left"/>
      <w:pPr>
        <w:tabs>
          <w:tab w:val="left" w:pos="420"/>
        </w:tabs>
        <w:ind w:left="420" w:hanging="420"/>
      </w:pPr>
      <w:rPr>
        <w:rFonts w:hint="default" w:ascii="Wingdings" w:hAnsi="Wingdings"/>
      </w:rPr>
    </w:lvl>
  </w:abstractNum>
  <w:abstractNum w:abstractNumId="11">
    <w:nsid w:val="56C13168"/>
    <w:multiLevelType w:val="singleLevel"/>
    <w:tmpl w:val="56C13168"/>
    <w:lvl w:ilvl="0" w:tentative="0">
      <w:start w:val="1"/>
      <w:numFmt w:val="bullet"/>
      <w:lvlText w:val=""/>
      <w:lvlJc w:val="left"/>
      <w:pPr>
        <w:tabs>
          <w:tab w:val="left" w:pos="420"/>
        </w:tabs>
        <w:ind w:left="420" w:hanging="420"/>
      </w:pPr>
      <w:rPr>
        <w:rFonts w:hint="default" w:ascii="Wingdings" w:hAnsi="Wingdings"/>
      </w:rPr>
    </w:lvl>
  </w:abstractNum>
  <w:abstractNum w:abstractNumId="12">
    <w:nsid w:val="5821451C"/>
    <w:multiLevelType w:val="multilevel"/>
    <w:tmpl w:val="582145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F1158D9"/>
    <w:multiLevelType w:val="multilevel"/>
    <w:tmpl w:val="5F1158D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69BF20E4"/>
    <w:multiLevelType w:val="multilevel"/>
    <w:tmpl w:val="69BF20E4"/>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6A16282"/>
    <w:multiLevelType w:val="multilevel"/>
    <w:tmpl w:val="76A1628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4"/>
  </w:num>
  <w:num w:numId="3">
    <w:abstractNumId w:val="6"/>
  </w:num>
  <w:num w:numId="4">
    <w:abstractNumId w:val="9"/>
  </w:num>
  <w:num w:numId="5">
    <w:abstractNumId w:val="12"/>
  </w:num>
  <w:num w:numId="6">
    <w:abstractNumId w:val="8"/>
  </w:num>
  <w:num w:numId="7">
    <w:abstractNumId w:val="1"/>
  </w:num>
  <w:num w:numId="8">
    <w:abstractNumId w:val="7"/>
  </w:num>
  <w:num w:numId="9">
    <w:abstractNumId w:val="13"/>
  </w:num>
  <w:num w:numId="10">
    <w:abstractNumId w:val="0"/>
  </w:num>
  <w:num w:numId="11">
    <w:abstractNumId w:val="15"/>
  </w:num>
  <w:num w:numId="12">
    <w:abstractNumId w:val="5"/>
  </w:num>
  <w:num w:numId="13">
    <w:abstractNumId w:val="3"/>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007827"/>
    <w:rsid w:val="000118A2"/>
    <w:rsid w:val="00050690"/>
    <w:rsid w:val="00053550"/>
    <w:rsid w:val="00054FE4"/>
    <w:rsid w:val="00055C58"/>
    <w:rsid w:val="00056118"/>
    <w:rsid w:val="00065503"/>
    <w:rsid w:val="00066D24"/>
    <w:rsid w:val="00071028"/>
    <w:rsid w:val="00072A8F"/>
    <w:rsid w:val="0008210C"/>
    <w:rsid w:val="000842E7"/>
    <w:rsid w:val="000A1670"/>
    <w:rsid w:val="000A32CD"/>
    <w:rsid w:val="000A456E"/>
    <w:rsid w:val="000D0659"/>
    <w:rsid w:val="000D2633"/>
    <w:rsid w:val="000D69A3"/>
    <w:rsid w:val="000E2023"/>
    <w:rsid w:val="001019B0"/>
    <w:rsid w:val="00111FE4"/>
    <w:rsid w:val="001129C5"/>
    <w:rsid w:val="00114C39"/>
    <w:rsid w:val="0012059E"/>
    <w:rsid w:val="00151E6D"/>
    <w:rsid w:val="00160232"/>
    <w:rsid w:val="00161FCD"/>
    <w:rsid w:val="00171469"/>
    <w:rsid w:val="001772A1"/>
    <w:rsid w:val="00184FE8"/>
    <w:rsid w:val="00197310"/>
    <w:rsid w:val="001A5CDF"/>
    <w:rsid w:val="001B1F8B"/>
    <w:rsid w:val="001C545E"/>
    <w:rsid w:val="001D396A"/>
    <w:rsid w:val="001E0261"/>
    <w:rsid w:val="001E303F"/>
    <w:rsid w:val="002127C1"/>
    <w:rsid w:val="00213582"/>
    <w:rsid w:val="0022625E"/>
    <w:rsid w:val="00245785"/>
    <w:rsid w:val="00253E7C"/>
    <w:rsid w:val="002568EB"/>
    <w:rsid w:val="002638D9"/>
    <w:rsid w:val="00265C99"/>
    <w:rsid w:val="00276B86"/>
    <w:rsid w:val="002834E3"/>
    <w:rsid w:val="002849B4"/>
    <w:rsid w:val="002A4B8E"/>
    <w:rsid w:val="002A713E"/>
    <w:rsid w:val="002F29E2"/>
    <w:rsid w:val="002F5ECC"/>
    <w:rsid w:val="002F7024"/>
    <w:rsid w:val="003064DE"/>
    <w:rsid w:val="00350A59"/>
    <w:rsid w:val="003577C9"/>
    <w:rsid w:val="00366756"/>
    <w:rsid w:val="003943D9"/>
    <w:rsid w:val="003970BE"/>
    <w:rsid w:val="003B5638"/>
    <w:rsid w:val="003C25E6"/>
    <w:rsid w:val="003C4588"/>
    <w:rsid w:val="003D38AB"/>
    <w:rsid w:val="003E1A36"/>
    <w:rsid w:val="003E3B0E"/>
    <w:rsid w:val="003E5855"/>
    <w:rsid w:val="00410532"/>
    <w:rsid w:val="004134A8"/>
    <w:rsid w:val="00417CB2"/>
    <w:rsid w:val="00426176"/>
    <w:rsid w:val="0043384D"/>
    <w:rsid w:val="00434F4F"/>
    <w:rsid w:val="004367EA"/>
    <w:rsid w:val="004412A1"/>
    <w:rsid w:val="00465636"/>
    <w:rsid w:val="004868C1"/>
    <w:rsid w:val="00493DA1"/>
    <w:rsid w:val="004A6F52"/>
    <w:rsid w:val="004D3286"/>
    <w:rsid w:val="004E106E"/>
    <w:rsid w:val="004E1401"/>
    <w:rsid w:val="00503EAC"/>
    <w:rsid w:val="00507C12"/>
    <w:rsid w:val="00521F96"/>
    <w:rsid w:val="00522387"/>
    <w:rsid w:val="0052513A"/>
    <w:rsid w:val="00534B21"/>
    <w:rsid w:val="00554D0B"/>
    <w:rsid w:val="00562A87"/>
    <w:rsid w:val="00566B6C"/>
    <w:rsid w:val="00582DBF"/>
    <w:rsid w:val="00592984"/>
    <w:rsid w:val="005966DC"/>
    <w:rsid w:val="005B6D6A"/>
    <w:rsid w:val="005C593E"/>
    <w:rsid w:val="005D6368"/>
    <w:rsid w:val="005E29CA"/>
    <w:rsid w:val="00604CED"/>
    <w:rsid w:val="00606285"/>
    <w:rsid w:val="006251E9"/>
    <w:rsid w:val="00625667"/>
    <w:rsid w:val="00633A51"/>
    <w:rsid w:val="00656F00"/>
    <w:rsid w:val="00663AD7"/>
    <w:rsid w:val="0066714E"/>
    <w:rsid w:val="006723E5"/>
    <w:rsid w:val="006731BE"/>
    <w:rsid w:val="00673D7A"/>
    <w:rsid w:val="00675589"/>
    <w:rsid w:val="00680CB9"/>
    <w:rsid w:val="006865C5"/>
    <w:rsid w:val="006B0321"/>
    <w:rsid w:val="006B2C89"/>
    <w:rsid w:val="006C37DC"/>
    <w:rsid w:val="006C56FC"/>
    <w:rsid w:val="006C7AB8"/>
    <w:rsid w:val="006D25EA"/>
    <w:rsid w:val="00713DB9"/>
    <w:rsid w:val="00715CB9"/>
    <w:rsid w:val="00727B86"/>
    <w:rsid w:val="00752756"/>
    <w:rsid w:val="0076356F"/>
    <w:rsid w:val="007667D6"/>
    <w:rsid w:val="0077535B"/>
    <w:rsid w:val="00785BC8"/>
    <w:rsid w:val="00793918"/>
    <w:rsid w:val="007A0947"/>
    <w:rsid w:val="007C53A2"/>
    <w:rsid w:val="007C7801"/>
    <w:rsid w:val="007E0ADB"/>
    <w:rsid w:val="007E56AD"/>
    <w:rsid w:val="00816AB6"/>
    <w:rsid w:val="00821E52"/>
    <w:rsid w:val="00823527"/>
    <w:rsid w:val="00840B89"/>
    <w:rsid w:val="00865346"/>
    <w:rsid w:val="00870F54"/>
    <w:rsid w:val="008717A7"/>
    <w:rsid w:val="00871FBC"/>
    <w:rsid w:val="0087735B"/>
    <w:rsid w:val="0088028D"/>
    <w:rsid w:val="0088134E"/>
    <w:rsid w:val="0089238D"/>
    <w:rsid w:val="008A26AA"/>
    <w:rsid w:val="008A4E50"/>
    <w:rsid w:val="008B08F6"/>
    <w:rsid w:val="008D0044"/>
    <w:rsid w:val="008E21DB"/>
    <w:rsid w:val="008F0FE1"/>
    <w:rsid w:val="008F5F31"/>
    <w:rsid w:val="008F68E7"/>
    <w:rsid w:val="008F69DE"/>
    <w:rsid w:val="00900751"/>
    <w:rsid w:val="00900AA0"/>
    <w:rsid w:val="00907EBF"/>
    <w:rsid w:val="00915BB1"/>
    <w:rsid w:val="009453F5"/>
    <w:rsid w:val="00961CA2"/>
    <w:rsid w:val="0096275C"/>
    <w:rsid w:val="009673B1"/>
    <w:rsid w:val="00986C9A"/>
    <w:rsid w:val="00990582"/>
    <w:rsid w:val="00996DA5"/>
    <w:rsid w:val="009A6EEE"/>
    <w:rsid w:val="009B4D27"/>
    <w:rsid w:val="009C3B13"/>
    <w:rsid w:val="009D71E5"/>
    <w:rsid w:val="00A17985"/>
    <w:rsid w:val="00A24279"/>
    <w:rsid w:val="00A5154D"/>
    <w:rsid w:val="00A60279"/>
    <w:rsid w:val="00A6373D"/>
    <w:rsid w:val="00A72C67"/>
    <w:rsid w:val="00A868F9"/>
    <w:rsid w:val="00AA2625"/>
    <w:rsid w:val="00AA280C"/>
    <w:rsid w:val="00AB5CC6"/>
    <w:rsid w:val="00AC497F"/>
    <w:rsid w:val="00AC7FE6"/>
    <w:rsid w:val="00AD054E"/>
    <w:rsid w:val="00AE04F5"/>
    <w:rsid w:val="00B00BA2"/>
    <w:rsid w:val="00B11850"/>
    <w:rsid w:val="00B15EAA"/>
    <w:rsid w:val="00B27927"/>
    <w:rsid w:val="00B33863"/>
    <w:rsid w:val="00B37653"/>
    <w:rsid w:val="00B412F4"/>
    <w:rsid w:val="00B51450"/>
    <w:rsid w:val="00B60BF9"/>
    <w:rsid w:val="00B6363F"/>
    <w:rsid w:val="00B70D5B"/>
    <w:rsid w:val="00B86DBD"/>
    <w:rsid w:val="00B94343"/>
    <w:rsid w:val="00B946E9"/>
    <w:rsid w:val="00B97FD1"/>
    <w:rsid w:val="00BA2C29"/>
    <w:rsid w:val="00BB3CFD"/>
    <w:rsid w:val="00BC640A"/>
    <w:rsid w:val="00BF588C"/>
    <w:rsid w:val="00BF7A61"/>
    <w:rsid w:val="00C04B27"/>
    <w:rsid w:val="00C15C8B"/>
    <w:rsid w:val="00C177AA"/>
    <w:rsid w:val="00C216F5"/>
    <w:rsid w:val="00C21B84"/>
    <w:rsid w:val="00C268CC"/>
    <w:rsid w:val="00C2716B"/>
    <w:rsid w:val="00C30032"/>
    <w:rsid w:val="00C40F8D"/>
    <w:rsid w:val="00C40FAA"/>
    <w:rsid w:val="00C5224B"/>
    <w:rsid w:val="00C632AA"/>
    <w:rsid w:val="00C63E59"/>
    <w:rsid w:val="00C6524F"/>
    <w:rsid w:val="00C70E03"/>
    <w:rsid w:val="00C71F16"/>
    <w:rsid w:val="00C77EB2"/>
    <w:rsid w:val="00C90EF7"/>
    <w:rsid w:val="00CB4A61"/>
    <w:rsid w:val="00CC0D6D"/>
    <w:rsid w:val="00CC584A"/>
    <w:rsid w:val="00CF6202"/>
    <w:rsid w:val="00CF6F91"/>
    <w:rsid w:val="00CF7972"/>
    <w:rsid w:val="00D17DDB"/>
    <w:rsid w:val="00D223BD"/>
    <w:rsid w:val="00D23273"/>
    <w:rsid w:val="00D32C3B"/>
    <w:rsid w:val="00D33B1F"/>
    <w:rsid w:val="00D35B42"/>
    <w:rsid w:val="00D47671"/>
    <w:rsid w:val="00D730BC"/>
    <w:rsid w:val="00D86113"/>
    <w:rsid w:val="00D8728C"/>
    <w:rsid w:val="00DA6F39"/>
    <w:rsid w:val="00DC037B"/>
    <w:rsid w:val="00DD0BE0"/>
    <w:rsid w:val="00DF114F"/>
    <w:rsid w:val="00DF4B4F"/>
    <w:rsid w:val="00E04097"/>
    <w:rsid w:val="00E14930"/>
    <w:rsid w:val="00E17DAF"/>
    <w:rsid w:val="00E219A5"/>
    <w:rsid w:val="00E45B0B"/>
    <w:rsid w:val="00E739EC"/>
    <w:rsid w:val="00E85120"/>
    <w:rsid w:val="00E87211"/>
    <w:rsid w:val="00E92794"/>
    <w:rsid w:val="00EA6E75"/>
    <w:rsid w:val="00EB3AEB"/>
    <w:rsid w:val="00EB624E"/>
    <w:rsid w:val="00EB709A"/>
    <w:rsid w:val="00ED3E57"/>
    <w:rsid w:val="00ED54A7"/>
    <w:rsid w:val="00ED6161"/>
    <w:rsid w:val="00ED6AEB"/>
    <w:rsid w:val="00EE4E2D"/>
    <w:rsid w:val="00EE7A14"/>
    <w:rsid w:val="00EF5699"/>
    <w:rsid w:val="00F01D03"/>
    <w:rsid w:val="00F03EB3"/>
    <w:rsid w:val="00F173D8"/>
    <w:rsid w:val="00F24188"/>
    <w:rsid w:val="00F25777"/>
    <w:rsid w:val="00F25FD2"/>
    <w:rsid w:val="00F32A19"/>
    <w:rsid w:val="00F467AF"/>
    <w:rsid w:val="00F511A1"/>
    <w:rsid w:val="00F5123D"/>
    <w:rsid w:val="00F6425A"/>
    <w:rsid w:val="00F70867"/>
    <w:rsid w:val="00F73556"/>
    <w:rsid w:val="00F773AC"/>
    <w:rsid w:val="00F90B88"/>
    <w:rsid w:val="00F96083"/>
    <w:rsid w:val="00FA796D"/>
    <w:rsid w:val="00FC00B7"/>
    <w:rsid w:val="00FD6113"/>
    <w:rsid w:val="00FD6AA3"/>
    <w:rsid w:val="00FE41F0"/>
    <w:rsid w:val="00FE7AEE"/>
    <w:rsid w:val="00FF2082"/>
    <w:rsid w:val="00FF52C7"/>
    <w:rsid w:val="00FF7E95"/>
    <w:rsid w:val="024541C2"/>
    <w:rsid w:val="02F51DE9"/>
    <w:rsid w:val="0570169F"/>
    <w:rsid w:val="05DA3E31"/>
    <w:rsid w:val="06676807"/>
    <w:rsid w:val="07A841F8"/>
    <w:rsid w:val="08580291"/>
    <w:rsid w:val="08BE5108"/>
    <w:rsid w:val="0D364CF6"/>
    <w:rsid w:val="0EBC7739"/>
    <w:rsid w:val="0F576447"/>
    <w:rsid w:val="0F940926"/>
    <w:rsid w:val="131C2628"/>
    <w:rsid w:val="14037EC4"/>
    <w:rsid w:val="147216CB"/>
    <w:rsid w:val="1734519C"/>
    <w:rsid w:val="188C766C"/>
    <w:rsid w:val="18C149EA"/>
    <w:rsid w:val="1B9F6D58"/>
    <w:rsid w:val="1C283FB2"/>
    <w:rsid w:val="1E7865B8"/>
    <w:rsid w:val="1F956EDA"/>
    <w:rsid w:val="203326E3"/>
    <w:rsid w:val="246B111F"/>
    <w:rsid w:val="25A47C0E"/>
    <w:rsid w:val="28DB2ECD"/>
    <w:rsid w:val="2A287144"/>
    <w:rsid w:val="2A5B3398"/>
    <w:rsid w:val="2D8032D1"/>
    <w:rsid w:val="2F165E57"/>
    <w:rsid w:val="32201EF0"/>
    <w:rsid w:val="32A5443F"/>
    <w:rsid w:val="3466797E"/>
    <w:rsid w:val="35127828"/>
    <w:rsid w:val="39215C46"/>
    <w:rsid w:val="3A652F06"/>
    <w:rsid w:val="3C4E4B28"/>
    <w:rsid w:val="3D634A60"/>
    <w:rsid w:val="3E2A3C25"/>
    <w:rsid w:val="420C17D1"/>
    <w:rsid w:val="42C73536"/>
    <w:rsid w:val="43A952AF"/>
    <w:rsid w:val="45B87FB0"/>
    <w:rsid w:val="49571229"/>
    <w:rsid w:val="49800A20"/>
    <w:rsid w:val="4A7D3293"/>
    <w:rsid w:val="4B204C49"/>
    <w:rsid w:val="4DE93083"/>
    <w:rsid w:val="4EAA6B68"/>
    <w:rsid w:val="4F8B20B0"/>
    <w:rsid w:val="50F17001"/>
    <w:rsid w:val="55BD674F"/>
    <w:rsid w:val="57F40CC7"/>
    <w:rsid w:val="5A2F7155"/>
    <w:rsid w:val="5A97462D"/>
    <w:rsid w:val="5AF92BA4"/>
    <w:rsid w:val="5B137D4D"/>
    <w:rsid w:val="5DCB24BB"/>
    <w:rsid w:val="5F527D97"/>
    <w:rsid w:val="601F28B8"/>
    <w:rsid w:val="6A43484F"/>
    <w:rsid w:val="6B50026C"/>
    <w:rsid w:val="6CA92E4F"/>
    <w:rsid w:val="6F007827"/>
    <w:rsid w:val="6FAC1F08"/>
    <w:rsid w:val="739F09E8"/>
    <w:rsid w:val="75AC3CE5"/>
    <w:rsid w:val="77FC29BC"/>
    <w:rsid w:val="7A1517CF"/>
    <w:rsid w:val="7F114CC4"/>
    <w:rsid w:val="7FC43A6A"/>
    <w:rsid w:val="7FFB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qFormat/>
    <w:uiPriority w:val="0"/>
    <w:rPr>
      <w:b/>
    </w:rPr>
  </w:style>
  <w:style w:type="character" w:styleId="8">
    <w:name w:val="Emphasis"/>
    <w:basedOn w:val="6"/>
    <w:qFormat/>
    <w:uiPriority w:val="0"/>
    <w:rPr>
      <w:i/>
    </w:rPr>
  </w:style>
  <w:style w:type="character" w:styleId="9">
    <w:name w:val="Hyperlink"/>
    <w:qFormat/>
    <w:uiPriority w:val="0"/>
    <w:rPr>
      <w:color w:val="0000CC"/>
      <w:u w:val="single"/>
    </w:r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1"/>
    <w:basedOn w:val="1"/>
    <w:link w:val="20"/>
    <w:qFormat/>
    <w:uiPriority w:val="99"/>
    <w:pPr>
      <w:ind w:firstLine="420" w:firstLineChars="200"/>
    </w:pPr>
  </w:style>
  <w:style w:type="paragraph" w:customStyle="1" w:styleId="13">
    <w:name w:val="列出段落2"/>
    <w:basedOn w:val="1"/>
    <w:qFormat/>
    <w:uiPriority w:val="34"/>
    <w:pPr>
      <w:ind w:firstLine="420" w:firstLineChars="200"/>
    </w:pPr>
  </w:style>
  <w:style w:type="paragraph" w:customStyle="1" w:styleId="14">
    <w:name w:val="无间隔1"/>
    <w:qFormat/>
    <w:uiPriority w:val="1"/>
    <w:pPr>
      <w:adjustRightInd w:val="0"/>
      <w:snapToGrid w:val="0"/>
    </w:pPr>
    <w:rPr>
      <w:rFonts w:ascii="Tahoma" w:hAnsi="Tahoma" w:eastAsia="微软雅黑" w:cs="黑体"/>
      <w:sz w:val="22"/>
      <w:szCs w:val="22"/>
      <w:lang w:val="en-US" w:eastAsia="zh-CN" w:bidi="ar-SA"/>
    </w:rPr>
  </w:style>
  <w:style w:type="character" w:customStyle="1" w:styleId="15">
    <w:name w:val="批注框文本 Char"/>
    <w:basedOn w:val="6"/>
    <w:link w:val="2"/>
    <w:qFormat/>
    <w:uiPriority w:val="0"/>
    <w:rPr>
      <w:kern w:val="2"/>
      <w:sz w:val="18"/>
      <w:szCs w:val="18"/>
    </w:rPr>
  </w:style>
  <w:style w:type="paragraph" w:customStyle="1" w:styleId="16">
    <w:name w:val="列出段落3"/>
    <w:basedOn w:val="1"/>
    <w:unhideWhenUsed/>
    <w:qFormat/>
    <w:uiPriority w:val="34"/>
    <w:pPr>
      <w:ind w:firstLine="420" w:firstLineChars="200"/>
    </w:pPr>
  </w:style>
  <w:style w:type="paragraph" w:customStyle="1" w:styleId="17">
    <w:name w:val="列出段落31"/>
    <w:basedOn w:val="1"/>
    <w:qFormat/>
    <w:uiPriority w:val="34"/>
    <w:pPr>
      <w:ind w:firstLine="420" w:firstLineChars="200"/>
    </w:pPr>
  </w:style>
  <w:style w:type="paragraph" w:customStyle="1" w:styleId="18">
    <w:name w:val="列出段落4"/>
    <w:basedOn w:val="1"/>
    <w:unhideWhenUsed/>
    <w:qFormat/>
    <w:uiPriority w:val="99"/>
    <w:pPr>
      <w:ind w:firstLine="420" w:firstLineChars="200"/>
    </w:pPr>
  </w:style>
  <w:style w:type="paragraph" w:styleId="19">
    <w:name w:val="List Paragraph"/>
    <w:basedOn w:val="1"/>
    <w:unhideWhenUsed/>
    <w:qFormat/>
    <w:uiPriority w:val="34"/>
    <w:pPr>
      <w:ind w:firstLine="420" w:firstLineChars="200"/>
    </w:pPr>
  </w:style>
  <w:style w:type="character" w:customStyle="1" w:styleId="20">
    <w:name w:val="列出段落1 Char"/>
    <w:link w:val="12"/>
    <w:qFormat/>
    <w:uiPriority w:val="34"/>
    <w:rPr>
      <w:rFonts w:asciiTheme="minorHAnsi" w:hAnsiTheme="minorHAnsi" w:eastAsiaTheme="minorEastAsia" w:cstheme="minorBidi"/>
      <w:kern w:val="2"/>
      <w:sz w:val="21"/>
      <w:szCs w:val="22"/>
    </w:rPr>
  </w:style>
  <w:style w:type="paragraph" w:customStyle="1" w:styleId="21">
    <w:name w:val="列出段落5"/>
    <w:basedOn w:val="1"/>
    <w:unhideWhenUsed/>
    <w:uiPriority w:val="99"/>
    <w:pPr>
      <w:ind w:firstLine="420" w:firstLineChars="200"/>
    </w:pPr>
    <w:rPr>
      <w:rFonts w:ascii="Calibri" w:hAnsi="Calibri" w:eastAsia="宋体" w:cs="Times New Roman"/>
    </w:rPr>
  </w:style>
  <w:style w:type="character" w:customStyle="1" w:styleId="22">
    <w:name w:val="页眉 Char"/>
    <w:basedOn w:val="6"/>
    <w:link w:val="4"/>
    <w:qFormat/>
    <w:uiPriority w:val="0"/>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8EB39-08CE-4623-AC84-41AF540EF14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699</Words>
  <Characters>3985</Characters>
  <Lines>33</Lines>
  <Paragraphs>9</Paragraphs>
  <ScaleCrop>false</ScaleCrop>
  <LinksUpToDate>false</LinksUpToDate>
  <CharactersWithSpaces>4675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2017-02-09T06:17:00Z</dcterms:created>
  <dc:creator>Administrator</dc:creator>
  <cp:lastModifiedBy>Administrator</cp:lastModifiedBy>
  <cp:lastPrinted>2018-03-13T07:00:22Z</cp:lastPrinted>
  <dcterms:modified xsi:type="dcterms:W3CDTF">2018-03-13T07:07:27Z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